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40" w:rsidRPr="00AC03DF" w:rsidRDefault="00B26840" w:rsidP="00B26840">
      <w:pPr>
        <w:jc w:val="both"/>
        <w:rPr>
          <w:rFonts w:ascii="Verdana" w:hAnsi="Verdana"/>
          <w:b/>
          <w:sz w:val="20"/>
        </w:rPr>
      </w:pPr>
      <w:r w:rsidRPr="00AC03DF">
        <w:rPr>
          <w:rFonts w:ascii="Verdana" w:hAnsi="Verdana"/>
          <w:b/>
          <w:sz w:val="20"/>
        </w:rPr>
        <w:t>Analisi del quadro attuale</w:t>
      </w:r>
    </w:p>
    <w:p w:rsidR="00B26840" w:rsidRDefault="00B26840" w:rsidP="00B26840">
      <w:pPr>
        <w:jc w:val="both"/>
        <w:rPr>
          <w:rFonts w:ascii="Verdana" w:hAnsi="Verdana"/>
          <w:sz w:val="20"/>
        </w:rPr>
      </w:pPr>
    </w:p>
    <w:p w:rsidR="00B26840" w:rsidRDefault="00B26840" w:rsidP="00B26840">
      <w:pPr>
        <w:jc w:val="both"/>
        <w:rPr>
          <w:rFonts w:ascii="Verdana" w:hAnsi="Verdana"/>
          <w:sz w:val="20"/>
        </w:rPr>
      </w:pPr>
      <w:r w:rsidRPr="00AC03DF">
        <w:rPr>
          <w:rFonts w:ascii="Verdana" w:hAnsi="Verdana"/>
          <w:sz w:val="20"/>
        </w:rPr>
        <w:t>Gli ultimi dati del portale Confcommercio relativi all’anno 2017, registrano incrementi generalizzati della Tari sulla totalità dei capoluoghi e degli oltre 2</w:t>
      </w:r>
      <w:r>
        <w:rPr>
          <w:rFonts w:ascii="Verdana" w:hAnsi="Verdana"/>
          <w:sz w:val="20"/>
        </w:rPr>
        <w:t>.</w:t>
      </w:r>
      <w:r w:rsidRPr="00AC03DF">
        <w:rPr>
          <w:rFonts w:ascii="Verdana" w:hAnsi="Verdana"/>
          <w:sz w:val="20"/>
        </w:rPr>
        <w:t xml:space="preserve">000 Comuni censiti (con una copertura della popolazione superiore al 60%). Un trend che porta a stimare l’ammontare complessivo della Tari per il 2017 a </w:t>
      </w:r>
      <w:r w:rsidRPr="00AC03DF">
        <w:rPr>
          <w:rFonts w:ascii="Verdana" w:hAnsi="Verdana"/>
          <w:b/>
          <w:sz w:val="20"/>
        </w:rPr>
        <w:t>9,3 miliardi di euro</w:t>
      </w:r>
      <w:r>
        <w:rPr>
          <w:rFonts w:ascii="Verdana" w:hAnsi="Verdana"/>
          <w:sz w:val="20"/>
        </w:rPr>
        <w:t xml:space="preserve"> (fig. 1).</w:t>
      </w:r>
      <w:r w:rsidRPr="00AC03DF">
        <w:rPr>
          <w:rFonts w:ascii="Verdana" w:hAnsi="Verdana"/>
          <w:sz w:val="20"/>
        </w:rPr>
        <w:t xml:space="preserve"> Negli ultimi sette anni, la tassa sui rifiuti è cresciuta del </w:t>
      </w:r>
      <w:r w:rsidRPr="00AC03DF">
        <w:rPr>
          <w:rFonts w:ascii="Verdana" w:hAnsi="Verdana"/>
          <w:b/>
          <w:sz w:val="20"/>
        </w:rPr>
        <w:t>72%,</w:t>
      </w:r>
      <w:r w:rsidRPr="00AC03DF">
        <w:rPr>
          <w:rFonts w:ascii="Verdana" w:hAnsi="Verdana"/>
          <w:sz w:val="20"/>
        </w:rPr>
        <w:t xml:space="preserve"> corrispondente ad un incremento complessivo di </w:t>
      </w:r>
      <w:r w:rsidRPr="00AC03DF">
        <w:rPr>
          <w:rFonts w:ascii="Verdana" w:hAnsi="Verdana"/>
          <w:b/>
          <w:sz w:val="20"/>
        </w:rPr>
        <w:t>3,9 miliardi di euro</w:t>
      </w:r>
      <w:r w:rsidRPr="00AC03DF">
        <w:rPr>
          <w:rFonts w:ascii="Verdana" w:hAnsi="Verdana"/>
          <w:sz w:val="20"/>
        </w:rPr>
        <w:t>.</w:t>
      </w:r>
    </w:p>
    <w:p w:rsidR="00B26840" w:rsidRDefault="00B26840" w:rsidP="00B26840">
      <w:pPr>
        <w:ind w:left="142"/>
        <w:jc w:val="both"/>
        <w:rPr>
          <w:rFonts w:ascii="Verdana" w:hAnsi="Verdana"/>
          <w:sz w:val="20"/>
        </w:rPr>
      </w:pPr>
    </w:p>
    <w:p w:rsidR="00B26840" w:rsidRPr="00F244C0" w:rsidRDefault="00B26840" w:rsidP="00B26840">
      <w:pPr>
        <w:ind w:left="142"/>
        <w:jc w:val="both"/>
        <w:rPr>
          <w:rFonts w:ascii="Verdana" w:hAnsi="Verdana"/>
          <w:sz w:val="20"/>
        </w:rPr>
      </w:pPr>
    </w:p>
    <w:p w:rsidR="00B26840" w:rsidRPr="00AF1544" w:rsidRDefault="00B26840" w:rsidP="00B26840">
      <w:pPr>
        <w:ind w:firstLine="284"/>
        <w:jc w:val="both"/>
        <w:rPr>
          <w:rFonts w:ascii="Verdana" w:hAnsi="Verdana"/>
          <w:b/>
          <w:bCs/>
          <w:sz w:val="18"/>
          <w:szCs w:val="18"/>
        </w:rPr>
      </w:pPr>
      <w:r w:rsidRPr="00AF1544">
        <w:rPr>
          <w:rFonts w:ascii="Verdana" w:hAnsi="Verdana"/>
          <w:b/>
          <w:bCs/>
          <w:sz w:val="18"/>
          <w:szCs w:val="18"/>
        </w:rPr>
        <w:t>Fig. 1</w:t>
      </w:r>
    </w:p>
    <w:p w:rsidR="00B26840" w:rsidRPr="00AC03DF" w:rsidRDefault="00B26840" w:rsidP="00B26840">
      <w:pPr>
        <w:jc w:val="center"/>
        <w:rPr>
          <w:rFonts w:ascii="Verdana" w:hAnsi="Verdana"/>
          <w:sz w:val="20"/>
        </w:rPr>
      </w:pPr>
      <w:r>
        <w:rPr>
          <w:rFonts w:ascii="Verdana" w:hAnsi="Verdana"/>
          <w:noProof/>
          <w:sz w:val="20"/>
        </w:rPr>
        <w:drawing>
          <wp:inline distT="0" distB="0" distL="0" distR="0">
            <wp:extent cx="6115050" cy="2076450"/>
            <wp:effectExtent l="19050" t="19050" r="19050" b="190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l="11041" t="29181" r="11270" b="27010"/>
                    <a:stretch>
                      <a:fillRect/>
                    </a:stretch>
                  </pic:blipFill>
                  <pic:spPr bwMode="auto">
                    <a:xfrm>
                      <a:off x="0" y="0"/>
                      <a:ext cx="6115050" cy="2076450"/>
                    </a:xfrm>
                    <a:prstGeom prst="rect">
                      <a:avLst/>
                    </a:prstGeom>
                    <a:noFill/>
                    <a:ln w="19050" cmpd="sng">
                      <a:solidFill>
                        <a:srgbClr val="4F81BD"/>
                      </a:solidFill>
                      <a:miter lim="800000"/>
                      <a:headEnd/>
                      <a:tailEnd/>
                    </a:ln>
                    <a:effectLst/>
                  </pic:spPr>
                </pic:pic>
              </a:graphicData>
            </a:graphic>
          </wp:inline>
        </w:drawing>
      </w:r>
    </w:p>
    <w:p w:rsidR="00B26840" w:rsidRPr="00CB3905" w:rsidRDefault="00B26840" w:rsidP="00B26840">
      <w:pPr>
        <w:ind w:left="142"/>
        <w:jc w:val="both"/>
        <w:rPr>
          <w:rFonts w:ascii="Verdana" w:hAnsi="Verdana"/>
          <w:i/>
          <w:sz w:val="18"/>
          <w:szCs w:val="18"/>
        </w:rPr>
      </w:pPr>
      <w:r w:rsidRPr="00CB3905">
        <w:rPr>
          <w:rFonts w:ascii="Verdana" w:hAnsi="Verdana"/>
          <w:i/>
          <w:sz w:val="18"/>
          <w:szCs w:val="18"/>
        </w:rPr>
        <w:t xml:space="preserve">Fonte: elaborazione Confcommercio su dati Istat. Per il 2017 è stata fatta una stima (tratteggiata) considerando i dati raccolti nel portale </w:t>
      </w:r>
      <w:hyperlink r:id="rId7" w:history="1">
        <w:r w:rsidRPr="00CB3905">
          <w:rPr>
            <w:rFonts w:ascii="Verdana" w:hAnsi="Verdana"/>
            <w:i/>
            <w:sz w:val="18"/>
            <w:szCs w:val="18"/>
          </w:rPr>
          <w:t>www.osservatoriotasselocali.it</w:t>
        </w:r>
      </w:hyperlink>
      <w:r w:rsidRPr="00CB3905">
        <w:rPr>
          <w:rFonts w:ascii="Verdana" w:hAnsi="Verdana"/>
          <w:i/>
          <w:sz w:val="18"/>
          <w:szCs w:val="18"/>
        </w:rPr>
        <w:t>.</w:t>
      </w:r>
    </w:p>
    <w:p w:rsidR="00B26840" w:rsidRDefault="00B26840" w:rsidP="00B26840">
      <w:pPr>
        <w:jc w:val="both"/>
        <w:rPr>
          <w:rFonts w:ascii="Verdana" w:hAnsi="Verdana"/>
          <w:sz w:val="20"/>
        </w:rPr>
      </w:pPr>
    </w:p>
    <w:p w:rsidR="00B26840" w:rsidRDefault="00B26840" w:rsidP="00B26840">
      <w:pPr>
        <w:jc w:val="both"/>
        <w:rPr>
          <w:rFonts w:ascii="Verdana" w:hAnsi="Verdana"/>
          <w:sz w:val="20"/>
        </w:rPr>
      </w:pPr>
    </w:p>
    <w:p w:rsidR="00B26840" w:rsidRPr="00AC03DF" w:rsidRDefault="00B26840" w:rsidP="00B26840">
      <w:pPr>
        <w:jc w:val="both"/>
        <w:rPr>
          <w:rFonts w:ascii="Verdana" w:hAnsi="Verdana"/>
          <w:sz w:val="20"/>
        </w:rPr>
      </w:pPr>
      <w:r w:rsidRPr="002D260E">
        <w:rPr>
          <w:rFonts w:ascii="Verdana" w:hAnsi="Verdana"/>
          <w:sz w:val="20"/>
        </w:rPr>
        <w:t xml:space="preserve">Una spesa crescente nonostante </w:t>
      </w:r>
      <w:r>
        <w:rPr>
          <w:rFonts w:ascii="Verdana" w:hAnsi="Verdana"/>
          <w:sz w:val="20"/>
        </w:rPr>
        <w:t xml:space="preserve">(tab. 1) </w:t>
      </w:r>
      <w:r w:rsidRPr="002D260E">
        <w:rPr>
          <w:rFonts w:ascii="Verdana" w:hAnsi="Verdana"/>
          <w:sz w:val="20"/>
        </w:rPr>
        <w:t xml:space="preserve">la percentuale di raccolta differenziata </w:t>
      </w:r>
      <w:r>
        <w:rPr>
          <w:rFonts w:ascii="Verdana" w:hAnsi="Verdana"/>
          <w:sz w:val="20"/>
        </w:rPr>
        <w:t>sia</w:t>
      </w:r>
      <w:r w:rsidRPr="002D260E">
        <w:rPr>
          <w:rFonts w:ascii="Verdana" w:hAnsi="Verdana"/>
          <w:sz w:val="20"/>
        </w:rPr>
        <w:t xml:space="preserve"> aumentata negli ultimi se</w:t>
      </w:r>
      <w:r>
        <w:rPr>
          <w:rFonts w:ascii="Verdana" w:hAnsi="Verdana"/>
          <w:sz w:val="20"/>
        </w:rPr>
        <w:t>tte</w:t>
      </w:r>
      <w:r w:rsidRPr="002D260E">
        <w:rPr>
          <w:rFonts w:ascii="Verdana" w:hAnsi="Verdana"/>
          <w:sz w:val="20"/>
        </w:rPr>
        <w:t xml:space="preserve"> anni di oltre il 20% e che il costo di gestione dei rifiuti differenziati (15,12 centesimi di euro al kg) continua ad essere circa un terzo rispetto a</w:t>
      </w:r>
      <w:r w:rsidRPr="00AC03DF">
        <w:rPr>
          <w:rFonts w:ascii="Verdana" w:hAnsi="Verdana"/>
          <w:sz w:val="20"/>
        </w:rPr>
        <w:t xml:space="preserve"> quello degli indifferenziati (40,79 centesimi di euro al kg).</w:t>
      </w:r>
    </w:p>
    <w:p w:rsidR="00B26840" w:rsidRDefault="00B26840" w:rsidP="00B26840">
      <w:pPr>
        <w:jc w:val="both"/>
        <w:rPr>
          <w:rFonts w:ascii="Verdana" w:hAnsi="Verdana"/>
          <w:sz w:val="20"/>
        </w:rPr>
      </w:pPr>
      <w:r w:rsidRPr="00AC03DF">
        <w:rPr>
          <w:rFonts w:ascii="Verdana" w:hAnsi="Verdana"/>
          <w:sz w:val="20"/>
        </w:rPr>
        <w:t xml:space="preserve">Si ricorda, al riguardo, che nel costo di gestione dei rifiuti è compreso anche il costo di raccolta, quello per il trasporto e per lo smaltimento. Il dato del costo differenziato/indifferenziato (rimasto sostanzialmente invariato in rapporto % negli anni) letto congiuntamente al trend crescente di </w:t>
      </w:r>
      <w:r w:rsidRPr="002D260E">
        <w:rPr>
          <w:rFonts w:ascii="Verdana" w:hAnsi="Verdana"/>
          <w:sz w:val="20"/>
        </w:rPr>
        <w:t>raccolta differenziata, avrebbe dovuto presupporre una contrazione significativa della spesa</w:t>
      </w:r>
      <w:r w:rsidRPr="00AC03DF">
        <w:rPr>
          <w:rFonts w:ascii="Verdana" w:hAnsi="Verdana"/>
          <w:b/>
          <w:sz w:val="20"/>
        </w:rPr>
        <w:t xml:space="preserve"> </w:t>
      </w:r>
      <w:r w:rsidRPr="00AC03DF">
        <w:rPr>
          <w:rFonts w:ascii="Verdana" w:hAnsi="Verdana"/>
          <w:sz w:val="20"/>
        </w:rPr>
        <w:t xml:space="preserve">complessiva che, però, non si è verificata. </w:t>
      </w:r>
    </w:p>
    <w:p w:rsidR="00B26840" w:rsidRDefault="00B26840" w:rsidP="00B26840">
      <w:pPr>
        <w:rPr>
          <w:rFonts w:ascii="Verdana" w:hAnsi="Verdana"/>
          <w:sz w:val="20"/>
        </w:rPr>
      </w:pPr>
    </w:p>
    <w:p w:rsidR="00B26840" w:rsidRDefault="00B26840" w:rsidP="00B26840">
      <w:pPr>
        <w:rPr>
          <w:rFonts w:ascii="Verdana" w:hAnsi="Verdana"/>
          <w:sz w:val="20"/>
        </w:rPr>
      </w:pPr>
    </w:p>
    <w:p w:rsidR="00B26840" w:rsidRPr="00AF1544" w:rsidRDefault="00B26840" w:rsidP="00B26840">
      <w:pPr>
        <w:jc w:val="both"/>
        <w:rPr>
          <w:rFonts w:ascii="Verdana" w:hAnsi="Verdana"/>
          <w:b/>
          <w:bCs/>
          <w:sz w:val="18"/>
          <w:szCs w:val="18"/>
        </w:rPr>
      </w:pPr>
      <w:r w:rsidRPr="00AF1544">
        <w:rPr>
          <w:rFonts w:ascii="Verdana" w:hAnsi="Verdana"/>
          <w:b/>
          <w:bCs/>
          <w:sz w:val="18"/>
          <w:szCs w:val="18"/>
        </w:rPr>
        <w:t>Tab.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548"/>
        <w:gridCol w:w="3217"/>
        <w:gridCol w:w="1903"/>
      </w:tblGrid>
      <w:tr w:rsidR="00B26840" w:rsidRPr="0029797D" w:rsidTr="008171E3">
        <w:tc>
          <w:tcPr>
            <w:tcW w:w="2186" w:type="dxa"/>
            <w:tcBorders>
              <w:bottom w:val="single" w:sz="4" w:space="0" w:color="auto"/>
            </w:tcBorders>
            <w:shd w:val="clear" w:color="auto" w:fill="F2F2F2"/>
          </w:tcPr>
          <w:p w:rsidR="00B26840" w:rsidRPr="0029797D" w:rsidRDefault="00B26840" w:rsidP="008171E3">
            <w:pPr>
              <w:jc w:val="center"/>
              <w:rPr>
                <w:rFonts w:ascii="Verdana" w:eastAsia="Calibri" w:hAnsi="Verdana"/>
                <w:b/>
                <w:sz w:val="20"/>
              </w:rPr>
            </w:pPr>
            <w:r w:rsidRPr="0029797D">
              <w:rPr>
                <w:rFonts w:ascii="Verdana" w:eastAsia="Calibri" w:hAnsi="Verdana"/>
                <w:b/>
                <w:sz w:val="20"/>
              </w:rPr>
              <w:t>Anno</w:t>
            </w:r>
          </w:p>
        </w:tc>
        <w:tc>
          <w:tcPr>
            <w:tcW w:w="2548" w:type="dxa"/>
            <w:tcBorders>
              <w:bottom w:val="single" w:sz="4" w:space="0" w:color="auto"/>
            </w:tcBorders>
            <w:shd w:val="clear" w:color="auto" w:fill="F2F2F2"/>
          </w:tcPr>
          <w:p w:rsidR="00B26840" w:rsidRPr="0029797D" w:rsidRDefault="00B26840" w:rsidP="008171E3">
            <w:pPr>
              <w:jc w:val="center"/>
              <w:rPr>
                <w:rFonts w:ascii="Verdana" w:eastAsia="Calibri" w:hAnsi="Verdana"/>
                <w:b/>
                <w:sz w:val="20"/>
              </w:rPr>
            </w:pPr>
            <w:r w:rsidRPr="0029797D">
              <w:rPr>
                <w:rFonts w:ascii="Verdana" w:eastAsia="Calibri" w:hAnsi="Verdana"/>
                <w:b/>
                <w:sz w:val="20"/>
              </w:rPr>
              <w:t>% raccolta differenziata</w:t>
            </w:r>
          </w:p>
        </w:tc>
        <w:tc>
          <w:tcPr>
            <w:tcW w:w="3217" w:type="dxa"/>
            <w:tcBorders>
              <w:bottom w:val="single" w:sz="4" w:space="0" w:color="auto"/>
            </w:tcBorders>
            <w:shd w:val="clear" w:color="auto" w:fill="F2F2F2"/>
          </w:tcPr>
          <w:p w:rsidR="00B26840" w:rsidRPr="0029797D" w:rsidRDefault="00B26840" w:rsidP="008171E3">
            <w:pPr>
              <w:jc w:val="center"/>
              <w:rPr>
                <w:rFonts w:ascii="Verdana" w:eastAsia="Calibri" w:hAnsi="Verdana"/>
                <w:b/>
                <w:sz w:val="20"/>
              </w:rPr>
            </w:pPr>
            <w:r w:rsidRPr="0029797D">
              <w:rPr>
                <w:rFonts w:ascii="Verdana" w:eastAsia="Calibri" w:hAnsi="Verdana"/>
                <w:b/>
                <w:sz w:val="20"/>
              </w:rPr>
              <w:t xml:space="preserve">Rapporto costo di gestione euro/kg </w:t>
            </w:r>
          </w:p>
          <w:p w:rsidR="00B26840" w:rsidRPr="0029797D" w:rsidRDefault="00B26840" w:rsidP="008171E3">
            <w:pPr>
              <w:jc w:val="center"/>
              <w:rPr>
                <w:rFonts w:ascii="Verdana" w:eastAsia="Calibri" w:hAnsi="Verdana"/>
                <w:i/>
                <w:sz w:val="20"/>
              </w:rPr>
            </w:pPr>
            <w:r w:rsidRPr="0029797D">
              <w:rPr>
                <w:rFonts w:ascii="Verdana" w:eastAsia="Calibri" w:hAnsi="Verdana"/>
                <w:i/>
                <w:sz w:val="20"/>
              </w:rPr>
              <w:t>differenziato / indifferenziato</w:t>
            </w:r>
          </w:p>
        </w:tc>
        <w:tc>
          <w:tcPr>
            <w:tcW w:w="1903" w:type="dxa"/>
            <w:tcBorders>
              <w:bottom w:val="single" w:sz="4" w:space="0" w:color="auto"/>
            </w:tcBorders>
            <w:shd w:val="clear" w:color="auto" w:fill="F2F2F2"/>
          </w:tcPr>
          <w:p w:rsidR="00B26840" w:rsidRPr="0029797D" w:rsidRDefault="00B26840" w:rsidP="008171E3">
            <w:pPr>
              <w:jc w:val="center"/>
              <w:rPr>
                <w:rFonts w:ascii="Verdana" w:eastAsia="Calibri" w:hAnsi="Verdana"/>
                <w:b/>
                <w:sz w:val="20"/>
              </w:rPr>
            </w:pPr>
            <w:r w:rsidRPr="0029797D">
              <w:rPr>
                <w:rFonts w:ascii="Verdana" w:eastAsia="Calibri" w:hAnsi="Verdana"/>
                <w:b/>
                <w:sz w:val="20"/>
              </w:rPr>
              <w:t>Costo complessivo TARI (miliardi di euro)</w:t>
            </w:r>
          </w:p>
        </w:tc>
      </w:tr>
      <w:tr w:rsidR="00B26840" w:rsidRPr="0029797D" w:rsidTr="008171E3">
        <w:tc>
          <w:tcPr>
            <w:tcW w:w="2186" w:type="dxa"/>
            <w:tcBorders>
              <w:bottom w:val="single" w:sz="4" w:space="0" w:color="auto"/>
            </w:tcBorders>
            <w:shd w:val="clear" w:color="auto" w:fill="92D050"/>
          </w:tcPr>
          <w:p w:rsidR="00B26840" w:rsidRPr="0029797D" w:rsidRDefault="00B26840" w:rsidP="008171E3">
            <w:pPr>
              <w:jc w:val="center"/>
              <w:rPr>
                <w:rFonts w:ascii="Verdana" w:eastAsia="Calibri" w:hAnsi="Verdana"/>
                <w:b/>
                <w:sz w:val="20"/>
              </w:rPr>
            </w:pPr>
            <w:r w:rsidRPr="0029797D">
              <w:rPr>
                <w:rFonts w:ascii="Verdana" w:eastAsia="Calibri" w:hAnsi="Verdana"/>
                <w:b/>
                <w:sz w:val="20"/>
              </w:rPr>
              <w:t>2010</w:t>
            </w:r>
          </w:p>
        </w:tc>
        <w:tc>
          <w:tcPr>
            <w:tcW w:w="2548" w:type="dxa"/>
            <w:tcBorders>
              <w:bottom w:val="single" w:sz="4" w:space="0" w:color="auto"/>
            </w:tcBorders>
            <w:shd w:val="clear" w:color="auto" w:fill="92D050"/>
          </w:tcPr>
          <w:p w:rsidR="00B26840" w:rsidRPr="0029797D" w:rsidRDefault="00B26840" w:rsidP="008171E3">
            <w:pPr>
              <w:jc w:val="center"/>
              <w:rPr>
                <w:rFonts w:ascii="Verdana" w:eastAsia="Calibri" w:hAnsi="Verdana"/>
                <w:sz w:val="20"/>
              </w:rPr>
            </w:pPr>
            <w:r w:rsidRPr="0029797D">
              <w:rPr>
                <w:rFonts w:ascii="Verdana" w:eastAsia="Calibri" w:hAnsi="Verdana"/>
                <w:sz w:val="20"/>
              </w:rPr>
              <w:t>31,7</w:t>
            </w:r>
          </w:p>
        </w:tc>
        <w:tc>
          <w:tcPr>
            <w:tcW w:w="3217" w:type="dxa"/>
            <w:tcBorders>
              <w:bottom w:val="single" w:sz="4" w:space="0" w:color="auto"/>
            </w:tcBorders>
            <w:shd w:val="clear" w:color="auto" w:fill="92D050"/>
          </w:tcPr>
          <w:p w:rsidR="00B26840" w:rsidRPr="0029797D" w:rsidRDefault="00B26840" w:rsidP="008171E3">
            <w:pPr>
              <w:jc w:val="center"/>
              <w:rPr>
                <w:rFonts w:ascii="Verdana" w:eastAsia="Calibri" w:hAnsi="Verdana"/>
                <w:sz w:val="20"/>
              </w:rPr>
            </w:pPr>
            <w:r w:rsidRPr="0029797D">
              <w:rPr>
                <w:rFonts w:ascii="Verdana" w:eastAsia="Calibri" w:hAnsi="Verdana"/>
                <w:sz w:val="20"/>
              </w:rPr>
              <w:t>1/3</w:t>
            </w:r>
          </w:p>
        </w:tc>
        <w:tc>
          <w:tcPr>
            <w:tcW w:w="1903" w:type="dxa"/>
            <w:tcBorders>
              <w:bottom w:val="single" w:sz="4" w:space="0" w:color="auto"/>
            </w:tcBorders>
            <w:shd w:val="clear" w:color="auto" w:fill="92D050"/>
          </w:tcPr>
          <w:p w:rsidR="00B26840" w:rsidRPr="0029797D" w:rsidRDefault="00B26840" w:rsidP="008171E3">
            <w:pPr>
              <w:jc w:val="center"/>
              <w:rPr>
                <w:rFonts w:ascii="Verdana" w:eastAsia="Calibri" w:hAnsi="Verdana"/>
                <w:sz w:val="20"/>
              </w:rPr>
            </w:pPr>
            <w:r w:rsidRPr="0029797D">
              <w:rPr>
                <w:rFonts w:ascii="Verdana" w:eastAsia="Calibri" w:hAnsi="Verdana"/>
                <w:sz w:val="20"/>
              </w:rPr>
              <w:t>5,4</w:t>
            </w:r>
          </w:p>
        </w:tc>
      </w:tr>
      <w:tr w:rsidR="00B26840" w:rsidRPr="0029797D" w:rsidTr="008171E3">
        <w:tc>
          <w:tcPr>
            <w:tcW w:w="2186" w:type="dxa"/>
            <w:tcBorders>
              <w:top w:val="single" w:sz="4" w:space="0" w:color="auto"/>
            </w:tcBorders>
            <w:shd w:val="clear" w:color="auto" w:fill="auto"/>
          </w:tcPr>
          <w:p w:rsidR="00B26840" w:rsidRPr="0029797D" w:rsidRDefault="00B26840" w:rsidP="008171E3">
            <w:pPr>
              <w:jc w:val="center"/>
              <w:rPr>
                <w:rFonts w:ascii="Verdana" w:eastAsia="Calibri" w:hAnsi="Verdana"/>
                <w:b/>
                <w:sz w:val="20"/>
              </w:rPr>
            </w:pPr>
            <w:r w:rsidRPr="0029797D">
              <w:rPr>
                <w:rFonts w:ascii="Verdana" w:eastAsia="Calibri" w:hAnsi="Verdana"/>
                <w:b/>
                <w:sz w:val="20"/>
              </w:rPr>
              <w:t>201</w:t>
            </w:r>
            <w:r>
              <w:rPr>
                <w:rFonts w:ascii="Verdana" w:eastAsia="Calibri" w:hAnsi="Verdana"/>
                <w:b/>
                <w:sz w:val="20"/>
              </w:rPr>
              <w:t>7</w:t>
            </w:r>
          </w:p>
        </w:tc>
        <w:tc>
          <w:tcPr>
            <w:tcW w:w="2548" w:type="dxa"/>
            <w:tcBorders>
              <w:top w:val="single" w:sz="4" w:space="0" w:color="auto"/>
            </w:tcBorders>
            <w:shd w:val="clear" w:color="auto" w:fill="auto"/>
          </w:tcPr>
          <w:p w:rsidR="00B26840" w:rsidRPr="0029797D" w:rsidRDefault="00B26840" w:rsidP="008171E3">
            <w:pPr>
              <w:jc w:val="center"/>
              <w:rPr>
                <w:rFonts w:ascii="Verdana" w:eastAsia="Calibri" w:hAnsi="Verdana"/>
                <w:b/>
                <w:sz w:val="20"/>
              </w:rPr>
            </w:pPr>
            <w:r>
              <w:rPr>
                <w:rFonts w:eastAsia="Calibri"/>
                <w:noProof/>
                <w:szCs w:val="22"/>
              </w:rPr>
              <mc:AlternateContent>
                <mc:Choice Requires="wps">
                  <w:drawing>
                    <wp:anchor distT="4294967295" distB="4294967295" distL="114300" distR="114300" simplePos="0" relativeHeight="251659264" behindDoc="0" locked="0" layoutInCell="1" allowOverlap="1">
                      <wp:simplePos x="0" y="0"/>
                      <wp:positionH relativeFrom="column">
                        <wp:posOffset>1062355</wp:posOffset>
                      </wp:positionH>
                      <wp:positionV relativeFrom="paragraph">
                        <wp:posOffset>105409</wp:posOffset>
                      </wp:positionV>
                      <wp:extent cx="2874010" cy="0"/>
                      <wp:effectExtent l="209550" t="266700" r="212090" b="285750"/>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4010" cy="0"/>
                              </a:xfrm>
                              <a:prstGeom prst="straightConnector1">
                                <a:avLst/>
                              </a:prstGeom>
                              <a:noFill/>
                              <a:ln w="9525" cap="flat" cmpd="sng" algn="ctr">
                                <a:solidFill>
                                  <a:srgbClr val="FF0000"/>
                                </a:solidFill>
                                <a:prstDash val="solid"/>
                                <a:headEnd type="arrow"/>
                                <a:tailEnd type="arrow"/>
                              </a:ln>
                              <a:effectLst>
                                <a:glow rad="228600">
                                  <a:srgbClr val="9BBB59">
                                    <a:satMod val="175000"/>
                                    <a:alpha val="40000"/>
                                  </a:srgbClr>
                                </a:glo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7" o:spid="_x0000_s1026" type="#_x0000_t32" style="position:absolute;margin-left:83.65pt;margin-top:8.3pt;width:226.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" strokecolor="red">
                      <v:stroke startarrow="open" endarrow="open"/>
                      <o:lock v:ext="edit" shapetype="f"/>
                    </v:shape>
                  </w:pict>
                </mc:Fallback>
              </mc:AlternateContent>
            </w:r>
            <w:r w:rsidRPr="0029797D">
              <w:rPr>
                <w:rFonts w:ascii="Verdana" w:eastAsia="Calibri" w:hAnsi="Verdana"/>
                <w:b/>
                <w:color w:val="00B050"/>
                <w:sz w:val="20"/>
              </w:rPr>
              <w:t>52,5</w:t>
            </w:r>
          </w:p>
        </w:tc>
        <w:tc>
          <w:tcPr>
            <w:tcW w:w="3217" w:type="dxa"/>
            <w:tcBorders>
              <w:top w:val="single" w:sz="4" w:space="0" w:color="auto"/>
            </w:tcBorders>
            <w:shd w:val="clear" w:color="auto" w:fill="auto"/>
          </w:tcPr>
          <w:p w:rsidR="00B26840" w:rsidRPr="0029797D" w:rsidRDefault="00B26840" w:rsidP="008171E3">
            <w:pPr>
              <w:jc w:val="center"/>
              <w:rPr>
                <w:rFonts w:ascii="Verdana" w:eastAsia="Calibri" w:hAnsi="Verdana"/>
                <w:sz w:val="20"/>
              </w:rPr>
            </w:pPr>
            <w:r w:rsidRPr="0029797D">
              <w:rPr>
                <w:rFonts w:ascii="Verdana" w:eastAsia="Calibri" w:hAnsi="Verdana"/>
                <w:sz w:val="20"/>
              </w:rPr>
              <w:t>1/3</w:t>
            </w:r>
          </w:p>
        </w:tc>
        <w:tc>
          <w:tcPr>
            <w:tcW w:w="1903" w:type="dxa"/>
            <w:tcBorders>
              <w:top w:val="single" w:sz="4" w:space="0" w:color="auto"/>
            </w:tcBorders>
            <w:shd w:val="clear" w:color="auto" w:fill="auto"/>
          </w:tcPr>
          <w:p w:rsidR="00B26840" w:rsidRPr="0029797D" w:rsidRDefault="00B26840" w:rsidP="008171E3">
            <w:pPr>
              <w:jc w:val="center"/>
              <w:rPr>
                <w:rFonts w:ascii="Verdana" w:eastAsia="Calibri" w:hAnsi="Verdana"/>
                <w:b/>
                <w:sz w:val="20"/>
              </w:rPr>
            </w:pPr>
            <w:r>
              <w:rPr>
                <w:rFonts w:ascii="Verdana" w:eastAsia="Calibri" w:hAnsi="Verdana"/>
                <w:b/>
                <w:color w:val="FF0000"/>
                <w:sz w:val="20"/>
              </w:rPr>
              <w:t>9,3</w:t>
            </w:r>
          </w:p>
        </w:tc>
      </w:tr>
    </w:tbl>
    <w:p w:rsidR="00B26840" w:rsidRPr="002D260E" w:rsidRDefault="00B26840" w:rsidP="00B26840">
      <w:pPr>
        <w:jc w:val="both"/>
        <w:rPr>
          <w:rFonts w:ascii="Verdana" w:hAnsi="Verdana"/>
          <w:i/>
          <w:sz w:val="18"/>
          <w:szCs w:val="18"/>
        </w:rPr>
      </w:pPr>
      <w:r w:rsidRPr="002D260E">
        <w:rPr>
          <w:rFonts w:ascii="Verdana" w:hAnsi="Verdana"/>
          <w:i/>
          <w:sz w:val="18"/>
          <w:szCs w:val="18"/>
        </w:rPr>
        <w:t>Fonte: elaborazione Confcommercio su dati Ispra</w:t>
      </w:r>
    </w:p>
    <w:p w:rsidR="00B26840" w:rsidRDefault="00B26840" w:rsidP="00B26840">
      <w:pPr>
        <w:jc w:val="both"/>
        <w:rPr>
          <w:rFonts w:ascii="Verdana" w:hAnsi="Verdana"/>
          <w:sz w:val="20"/>
        </w:rPr>
      </w:pPr>
    </w:p>
    <w:p w:rsidR="00B26840" w:rsidRDefault="00B26840" w:rsidP="00B26840">
      <w:pPr>
        <w:jc w:val="both"/>
        <w:rPr>
          <w:rFonts w:ascii="Verdana" w:hAnsi="Verdana"/>
          <w:sz w:val="20"/>
        </w:rPr>
      </w:pPr>
    </w:p>
    <w:p w:rsidR="00B26840" w:rsidRDefault="00B26840" w:rsidP="00B26840">
      <w:pPr>
        <w:jc w:val="both"/>
        <w:rPr>
          <w:rFonts w:ascii="Verdana" w:hAnsi="Verdana"/>
          <w:sz w:val="20"/>
        </w:rPr>
      </w:pPr>
      <w:r w:rsidRPr="00AC03DF">
        <w:rPr>
          <w:rFonts w:ascii="Verdana" w:hAnsi="Verdana"/>
          <w:sz w:val="20"/>
        </w:rPr>
        <w:t xml:space="preserve">Una tassazione crescente doppiamente ingiustificata se si considerano i dati riguardo alla </w:t>
      </w:r>
      <w:r w:rsidRPr="002D260E">
        <w:rPr>
          <w:rFonts w:ascii="Verdana" w:hAnsi="Verdana"/>
          <w:sz w:val="20"/>
        </w:rPr>
        <w:t xml:space="preserve">produzione totale di rifiuti </w:t>
      </w:r>
      <w:r>
        <w:rPr>
          <w:rFonts w:ascii="Verdana" w:hAnsi="Verdana"/>
          <w:sz w:val="20"/>
        </w:rPr>
        <w:t xml:space="preserve">(fig. 2) </w:t>
      </w:r>
      <w:r w:rsidRPr="002D260E">
        <w:rPr>
          <w:rFonts w:ascii="Verdana" w:hAnsi="Verdana"/>
          <w:sz w:val="20"/>
        </w:rPr>
        <w:t>che, in controtendenza, nel periodo considerato ha subito un rallentamento</w:t>
      </w:r>
      <w:r w:rsidRPr="002D260E">
        <w:rPr>
          <w:rFonts w:ascii="Verdana" w:hAnsi="Verdana"/>
          <w:color w:val="FF0000"/>
          <w:sz w:val="20"/>
        </w:rPr>
        <w:t xml:space="preserve">. </w:t>
      </w:r>
      <w:r w:rsidRPr="002D260E">
        <w:rPr>
          <w:rFonts w:ascii="Verdana" w:hAnsi="Verdana"/>
          <w:sz w:val="20"/>
        </w:rPr>
        <w:t>Le imprese, infatti, continuano a pagare di più nonostante la produzione dei rifiuti sia decresciuta</w:t>
      </w:r>
      <w:r>
        <w:rPr>
          <w:rFonts w:ascii="Verdana" w:hAnsi="Verdana"/>
          <w:sz w:val="20"/>
        </w:rPr>
        <w:t xml:space="preserve"> (da 32,4 mln di tonnellate del 2010 a 30,1 mln nel 2016)</w:t>
      </w:r>
      <w:r w:rsidRPr="002D260E">
        <w:rPr>
          <w:rFonts w:ascii="Verdana" w:hAnsi="Verdana"/>
          <w:sz w:val="20"/>
        </w:rPr>
        <w:t>.</w:t>
      </w:r>
      <w:r>
        <w:rPr>
          <w:rFonts w:ascii="Verdana" w:hAnsi="Verdana"/>
          <w:sz w:val="20"/>
        </w:rPr>
        <w:t xml:space="preserve"> </w:t>
      </w:r>
    </w:p>
    <w:p w:rsidR="00B26840" w:rsidRPr="00AF1544" w:rsidRDefault="00B26840" w:rsidP="00B26840">
      <w:pPr>
        <w:jc w:val="both"/>
        <w:rPr>
          <w:rFonts w:ascii="Verdana" w:hAnsi="Verdana"/>
          <w:b/>
          <w:bCs/>
          <w:sz w:val="18"/>
          <w:szCs w:val="18"/>
        </w:rPr>
      </w:pPr>
      <w:r>
        <w:rPr>
          <w:rFonts w:ascii="Verdana" w:hAnsi="Verdana"/>
          <w:b/>
          <w:sz w:val="20"/>
        </w:rPr>
        <w:br w:type="page"/>
      </w:r>
      <w:r w:rsidRPr="00AF1544">
        <w:rPr>
          <w:rFonts w:ascii="Verdana" w:hAnsi="Verdana"/>
          <w:b/>
          <w:bCs/>
          <w:sz w:val="18"/>
          <w:szCs w:val="18"/>
        </w:rPr>
        <w:lastRenderedPageBreak/>
        <w:t xml:space="preserve">Fig. 2 </w:t>
      </w:r>
    </w:p>
    <w:p w:rsidR="00B26840" w:rsidRPr="00AC03DF" w:rsidRDefault="00B26840" w:rsidP="00B26840">
      <w:pPr>
        <w:rPr>
          <w:rFonts w:ascii="Verdana" w:hAnsi="Verdana"/>
          <w:sz w:val="20"/>
        </w:rPr>
      </w:pPr>
      <w:r>
        <w:rPr>
          <w:rFonts w:ascii="Verdana" w:hAnsi="Verdana"/>
          <w:noProof/>
          <w:sz w:val="20"/>
        </w:rPr>
        <w:drawing>
          <wp:inline distT="0" distB="0" distL="0" distR="0">
            <wp:extent cx="4321810" cy="2037715"/>
            <wp:effectExtent l="0" t="0" r="21590" b="19685"/>
            <wp:docPr id="5" name="Gra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6840" w:rsidRPr="002D260E" w:rsidRDefault="00B26840" w:rsidP="00B26840">
      <w:pPr>
        <w:jc w:val="both"/>
        <w:rPr>
          <w:rFonts w:ascii="Verdana" w:hAnsi="Verdana"/>
          <w:i/>
          <w:sz w:val="18"/>
          <w:szCs w:val="18"/>
        </w:rPr>
      </w:pPr>
      <w:r w:rsidRPr="002D260E">
        <w:rPr>
          <w:rFonts w:ascii="Verdana" w:hAnsi="Verdana"/>
          <w:i/>
          <w:sz w:val="18"/>
          <w:szCs w:val="18"/>
        </w:rPr>
        <w:t>Fonte: elaborazione Confcommercio su dati Ispra</w:t>
      </w:r>
    </w:p>
    <w:p w:rsidR="00B26840" w:rsidRPr="002D260E" w:rsidRDefault="00B26840" w:rsidP="00B26840">
      <w:pPr>
        <w:jc w:val="both"/>
        <w:rPr>
          <w:rFonts w:ascii="Verdana" w:hAnsi="Verdana"/>
          <w:sz w:val="20"/>
        </w:rPr>
      </w:pPr>
    </w:p>
    <w:p w:rsidR="00B26840" w:rsidRPr="002D260E" w:rsidRDefault="00B26840" w:rsidP="00B26840">
      <w:pPr>
        <w:jc w:val="both"/>
        <w:rPr>
          <w:rFonts w:ascii="Verdana" w:hAnsi="Verdana"/>
          <w:b/>
          <w:sz w:val="20"/>
        </w:rPr>
      </w:pPr>
      <w:r w:rsidRPr="002D260E">
        <w:rPr>
          <w:rFonts w:ascii="Verdana" w:hAnsi="Verdana"/>
          <w:b/>
          <w:sz w:val="20"/>
        </w:rPr>
        <w:t>CAUSE</w:t>
      </w:r>
    </w:p>
    <w:p w:rsidR="00B26840" w:rsidRPr="00494169" w:rsidRDefault="00B26840" w:rsidP="00B26840">
      <w:pPr>
        <w:jc w:val="both"/>
        <w:rPr>
          <w:rFonts w:ascii="Verdana" w:hAnsi="Verdana"/>
          <w:sz w:val="20"/>
        </w:rPr>
      </w:pPr>
    </w:p>
    <w:p w:rsidR="00B26840" w:rsidRPr="00AF1544" w:rsidRDefault="00B26840" w:rsidP="00B26840">
      <w:pPr>
        <w:pStyle w:val="Paragrafoelenco"/>
        <w:numPr>
          <w:ilvl w:val="0"/>
          <w:numId w:val="1"/>
        </w:numPr>
        <w:spacing w:after="0" w:line="240" w:lineRule="auto"/>
        <w:rPr>
          <w:rFonts w:ascii="Verdana" w:hAnsi="Verdana"/>
          <w:b/>
          <w:sz w:val="18"/>
          <w:szCs w:val="18"/>
        </w:rPr>
      </w:pPr>
      <w:r w:rsidRPr="00AF1544">
        <w:rPr>
          <w:rFonts w:ascii="Verdana" w:hAnsi="Verdana"/>
          <w:b/>
          <w:sz w:val="18"/>
          <w:szCs w:val="18"/>
        </w:rPr>
        <w:t>INEFFICIENZA</w:t>
      </w:r>
    </w:p>
    <w:p w:rsidR="00B26840" w:rsidRPr="00D413E1" w:rsidRDefault="00B26840" w:rsidP="00B26840">
      <w:pPr>
        <w:jc w:val="both"/>
        <w:rPr>
          <w:rFonts w:ascii="Verdana" w:hAnsi="Verdana"/>
          <w:i/>
          <w:sz w:val="20"/>
          <w:u w:val="single"/>
        </w:rPr>
      </w:pPr>
      <w:r w:rsidRPr="00D413E1">
        <w:rPr>
          <w:rFonts w:ascii="Verdana" w:hAnsi="Verdana"/>
          <w:i/>
          <w:sz w:val="20"/>
          <w:u w:val="single"/>
        </w:rPr>
        <w:t>Mancato raggiungimento degli obiettivi di raccolta differenziata</w:t>
      </w:r>
    </w:p>
    <w:p w:rsidR="00B26840" w:rsidRPr="002D260E" w:rsidRDefault="00B26840" w:rsidP="00B26840">
      <w:pPr>
        <w:jc w:val="both"/>
        <w:rPr>
          <w:rFonts w:ascii="Verdana" w:hAnsi="Verdana"/>
          <w:sz w:val="20"/>
        </w:rPr>
      </w:pPr>
      <w:r w:rsidRPr="002D260E">
        <w:rPr>
          <w:rFonts w:ascii="Verdana" w:hAnsi="Verdana"/>
          <w:sz w:val="20"/>
        </w:rPr>
        <w:t>A fronte di meno rifiuti e di un costo del servizio sempre più alto, le aziende di gestione non sono state capaci di implementare sistemi in grado di traguardare gli obiettivi previsti dalla normativa. Anche se in termini assoluti la percentuale di raccolta differenziata si attesta al 52,5% nel 2016 (+5% rispetto al 2015), il Paese rimane in ritardo rispetto agli obiettivi fissati a livello europeo (65%).</w:t>
      </w:r>
      <w:r>
        <w:rPr>
          <w:rFonts w:ascii="Verdana" w:hAnsi="Verdana"/>
          <w:sz w:val="20"/>
        </w:rPr>
        <w:t xml:space="preserve"> </w:t>
      </w:r>
      <w:r w:rsidRPr="002D260E">
        <w:rPr>
          <w:rFonts w:ascii="Verdana" w:hAnsi="Verdana"/>
          <w:sz w:val="20"/>
        </w:rPr>
        <w:t>Questo ritardo ha determinato maggiori costi a carico della collettività.</w:t>
      </w:r>
      <w:r>
        <w:rPr>
          <w:rFonts w:ascii="Verdana" w:hAnsi="Verdana"/>
          <w:sz w:val="20"/>
        </w:rPr>
        <w:t xml:space="preserve"> </w:t>
      </w:r>
      <w:r w:rsidRPr="002D260E">
        <w:rPr>
          <w:rFonts w:ascii="Verdana" w:hAnsi="Verdana"/>
          <w:sz w:val="20"/>
        </w:rPr>
        <w:t xml:space="preserve">Il grafico confronta l’andamento della </w:t>
      </w:r>
      <w:r w:rsidRPr="002D260E">
        <w:rPr>
          <w:rFonts w:ascii="Verdana" w:hAnsi="Verdana"/>
          <w:bCs/>
          <w:sz w:val="20"/>
        </w:rPr>
        <w:t>spesa reale</w:t>
      </w:r>
      <w:r w:rsidRPr="002D260E">
        <w:rPr>
          <w:rFonts w:ascii="Verdana" w:hAnsi="Verdana"/>
          <w:sz w:val="20"/>
        </w:rPr>
        <w:t xml:space="preserve"> per la gestione dei rifiuti (considerando solo i costi gestione differenziato e indifferenziato e tralasciando le altre voci per lavaggio, spazzamento e trasporto)</w:t>
      </w:r>
      <w:r w:rsidRPr="002D260E">
        <w:rPr>
          <w:rFonts w:ascii="Verdana" w:hAnsi="Verdana"/>
          <w:bCs/>
          <w:sz w:val="20"/>
        </w:rPr>
        <w:t xml:space="preserve"> </w:t>
      </w:r>
      <w:r w:rsidRPr="002D260E">
        <w:rPr>
          <w:rFonts w:ascii="Verdana" w:hAnsi="Verdana"/>
          <w:sz w:val="20"/>
        </w:rPr>
        <w:t xml:space="preserve">con quello della </w:t>
      </w:r>
      <w:r w:rsidRPr="002D260E">
        <w:rPr>
          <w:rFonts w:ascii="Verdana" w:hAnsi="Verdana"/>
          <w:bCs/>
          <w:sz w:val="20"/>
        </w:rPr>
        <w:t xml:space="preserve">spesa potenziale </w:t>
      </w:r>
      <w:r w:rsidRPr="002D260E">
        <w:rPr>
          <w:rFonts w:ascii="Verdana" w:hAnsi="Verdana"/>
          <w:sz w:val="20"/>
        </w:rPr>
        <w:t>che si sarebbe avuta ipotizzando il raggiungimento degli obiettivi (%) comunitari previsti per la raccolta differenziata (goal fissato per il 2012 al 65%).</w:t>
      </w:r>
    </w:p>
    <w:p w:rsidR="00B26840" w:rsidRDefault="00B26840" w:rsidP="00B26840">
      <w:pPr>
        <w:jc w:val="both"/>
        <w:rPr>
          <w:rFonts w:ascii="Verdana" w:hAnsi="Verdana"/>
          <w:sz w:val="20"/>
        </w:rPr>
      </w:pPr>
    </w:p>
    <w:p w:rsidR="00B26840" w:rsidRPr="00AF1544" w:rsidRDefault="00B26840" w:rsidP="00B26840">
      <w:pPr>
        <w:jc w:val="both"/>
        <w:rPr>
          <w:rFonts w:ascii="Verdana" w:hAnsi="Verdana"/>
          <w:b/>
          <w:bCs/>
          <w:sz w:val="18"/>
          <w:szCs w:val="18"/>
        </w:rPr>
      </w:pPr>
      <w:r w:rsidRPr="00AF1544">
        <w:rPr>
          <w:rFonts w:ascii="Verdana" w:hAnsi="Verdana"/>
          <w:b/>
          <w:bCs/>
          <w:sz w:val="18"/>
          <w:szCs w:val="18"/>
        </w:rPr>
        <w:t>Fig. 3</w:t>
      </w:r>
    </w:p>
    <w:p w:rsidR="00B26840" w:rsidRDefault="00B26840" w:rsidP="00B26840">
      <w:pPr>
        <w:jc w:val="both"/>
        <w:rPr>
          <w:rFonts w:ascii="Verdana" w:hAnsi="Verdana"/>
          <w:sz w:val="20"/>
        </w:rPr>
      </w:pPr>
      <w:r>
        <w:rPr>
          <w:rFonts w:ascii="Verdana" w:hAnsi="Verdana"/>
          <w:noProof/>
          <w:sz w:val="20"/>
        </w:rPr>
        <w:drawing>
          <wp:inline distT="0" distB="0" distL="0" distR="0">
            <wp:extent cx="4326890" cy="2620645"/>
            <wp:effectExtent l="57150" t="38100" r="54610" b="84455"/>
            <wp:docPr id="4" name="Gra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6840" w:rsidRPr="00EB380E" w:rsidRDefault="00B26840" w:rsidP="00B26840">
      <w:pPr>
        <w:ind w:left="426"/>
        <w:jc w:val="both"/>
        <w:rPr>
          <w:rFonts w:ascii="Verdana" w:hAnsi="Verdana"/>
          <w:i/>
          <w:sz w:val="18"/>
          <w:szCs w:val="18"/>
        </w:rPr>
      </w:pPr>
      <w:r w:rsidRPr="00EB380E">
        <w:rPr>
          <w:rFonts w:ascii="Verdana" w:hAnsi="Verdana"/>
          <w:i/>
          <w:sz w:val="18"/>
          <w:szCs w:val="18"/>
        </w:rPr>
        <w:t>Fonte: elaborazione Confcommercio su dati Ispra</w:t>
      </w:r>
    </w:p>
    <w:p w:rsidR="00B26840" w:rsidRDefault="00B26840" w:rsidP="00B26840">
      <w:pPr>
        <w:jc w:val="both"/>
        <w:rPr>
          <w:rFonts w:ascii="Verdana" w:hAnsi="Verdana"/>
          <w:sz w:val="20"/>
        </w:rPr>
      </w:pPr>
    </w:p>
    <w:p w:rsidR="00B26840" w:rsidRDefault="00B26840" w:rsidP="00B26840">
      <w:pPr>
        <w:jc w:val="both"/>
        <w:rPr>
          <w:rFonts w:ascii="Verdana" w:hAnsi="Verdana"/>
          <w:bCs/>
          <w:sz w:val="20"/>
        </w:rPr>
      </w:pPr>
      <w:r w:rsidRPr="002D260E">
        <w:rPr>
          <w:rFonts w:ascii="Verdana" w:hAnsi="Verdana"/>
          <w:sz w:val="20"/>
        </w:rPr>
        <w:t xml:space="preserve">Dal 2013 al 2016 si registra un maggior peso del carico Tari pari allo scostamento tra la spesa reale e quella potenziale di circa </w:t>
      </w:r>
      <w:r w:rsidRPr="002D260E">
        <w:rPr>
          <w:rFonts w:ascii="Verdana" w:hAnsi="Verdana"/>
          <w:bCs/>
          <w:sz w:val="20"/>
        </w:rPr>
        <w:t>5 miliardi di euro, se sommato</w:t>
      </w:r>
      <w:r w:rsidRPr="00AC03DF">
        <w:rPr>
          <w:rFonts w:ascii="Verdana" w:hAnsi="Verdana"/>
          <w:bCs/>
          <w:sz w:val="20"/>
        </w:rPr>
        <w:t xml:space="preserve"> nell’arco temporale considerato.</w:t>
      </w:r>
    </w:p>
    <w:p w:rsidR="00B26840" w:rsidRPr="00AC03DF" w:rsidRDefault="00B26840" w:rsidP="00B26840">
      <w:pPr>
        <w:jc w:val="both"/>
        <w:rPr>
          <w:rFonts w:ascii="Verdana" w:hAnsi="Verdana"/>
          <w:sz w:val="20"/>
        </w:rPr>
      </w:pPr>
      <w:r w:rsidRPr="00AC03DF">
        <w:rPr>
          <w:rFonts w:ascii="Verdana" w:hAnsi="Verdana"/>
          <w:sz w:val="20"/>
        </w:rPr>
        <w:t>Con il pagamento della Tari non si sono andati a coprire solo i costi per migliorare la differenziata, ma anche le inefficienze e gli sprechi del sistema.</w:t>
      </w:r>
    </w:p>
    <w:p w:rsidR="00B26840" w:rsidRPr="00EB380E" w:rsidRDefault="00B26840" w:rsidP="00B26840">
      <w:pPr>
        <w:jc w:val="both"/>
        <w:rPr>
          <w:rFonts w:ascii="Verdana" w:hAnsi="Verdana"/>
          <w:sz w:val="20"/>
        </w:rPr>
      </w:pPr>
      <w:r w:rsidRPr="00EB380E">
        <w:rPr>
          <w:rFonts w:ascii="Verdana" w:hAnsi="Verdana"/>
          <w:sz w:val="20"/>
        </w:rPr>
        <w:t>Il mancato raggiungimento degli obiettivi comunitari ci costa 1 miliardo anno!</w:t>
      </w:r>
    </w:p>
    <w:p w:rsidR="00B26840" w:rsidRDefault="00B26840" w:rsidP="00B26840">
      <w:pPr>
        <w:jc w:val="both"/>
        <w:rPr>
          <w:rFonts w:ascii="Verdana" w:hAnsi="Verdana"/>
          <w:i/>
          <w:sz w:val="20"/>
          <w:u w:val="single"/>
        </w:rPr>
      </w:pPr>
    </w:p>
    <w:p w:rsidR="00B26840" w:rsidRPr="00D413E1" w:rsidRDefault="00B26840" w:rsidP="00B26840">
      <w:pPr>
        <w:jc w:val="both"/>
        <w:rPr>
          <w:rFonts w:ascii="Verdana" w:hAnsi="Verdana"/>
          <w:i/>
          <w:sz w:val="20"/>
          <w:u w:val="single"/>
        </w:rPr>
      </w:pPr>
      <w:r w:rsidRPr="00D413E1">
        <w:rPr>
          <w:rFonts w:ascii="Verdana" w:hAnsi="Verdana"/>
          <w:i/>
          <w:sz w:val="20"/>
          <w:u w:val="single"/>
        </w:rPr>
        <w:t>Scostamento dai costi standard</w:t>
      </w:r>
    </w:p>
    <w:p w:rsidR="00B26840" w:rsidRPr="00AC03DF" w:rsidRDefault="00B26840" w:rsidP="00B26840">
      <w:pPr>
        <w:jc w:val="both"/>
        <w:rPr>
          <w:rFonts w:ascii="Verdana" w:hAnsi="Verdana"/>
          <w:sz w:val="20"/>
        </w:rPr>
      </w:pPr>
      <w:r w:rsidRPr="00AC03DF">
        <w:rPr>
          <w:rFonts w:ascii="Verdana" w:hAnsi="Verdana"/>
          <w:sz w:val="20"/>
        </w:rPr>
        <w:t>La variabilità delle tariffe sui territori e l’incremento tendenziale dei costi per il servizio di gestione dei rifiuti è determinato prioritariamente dall’ammontare, spesso eccessivo, dei piani finanziari dei Comuni.</w:t>
      </w:r>
    </w:p>
    <w:p w:rsidR="00B26840" w:rsidRPr="00AC03DF" w:rsidRDefault="00B26840" w:rsidP="00B26840">
      <w:pPr>
        <w:jc w:val="both"/>
        <w:rPr>
          <w:rFonts w:ascii="Verdana" w:hAnsi="Verdana"/>
          <w:sz w:val="20"/>
        </w:rPr>
      </w:pPr>
      <w:r w:rsidRPr="00AC03DF">
        <w:rPr>
          <w:rFonts w:ascii="Verdana" w:hAnsi="Verdana"/>
          <w:sz w:val="20"/>
        </w:rPr>
        <w:t xml:space="preserve">L’aumento crescente dei costi di gestione dei rifiuti dimostra come nella tassazione continuino a permanere voci di costo improprie a copertura di inefficienze locali di gestione. </w:t>
      </w:r>
    </w:p>
    <w:p w:rsidR="00B26840" w:rsidRDefault="00B26840" w:rsidP="00B26840">
      <w:pPr>
        <w:jc w:val="both"/>
        <w:rPr>
          <w:rFonts w:ascii="Verdana" w:hAnsi="Verdana"/>
          <w:sz w:val="20"/>
        </w:rPr>
      </w:pPr>
      <w:r w:rsidRPr="00AC03DF">
        <w:rPr>
          <w:rFonts w:ascii="Verdana" w:hAnsi="Verdana"/>
          <w:sz w:val="20"/>
        </w:rPr>
        <w:t>Un indicatore attendibile della congruità dei piani finanziari delle amministrazioni locali e quindi, in conseguenza, delle tariffe applicate a cittadini e imprese si ricava da</w:t>
      </w:r>
      <w:r w:rsidRPr="00AC03DF">
        <w:rPr>
          <w:rFonts w:ascii="Verdana" w:hAnsi="Verdana"/>
          <w:i/>
          <w:iCs/>
          <w:sz w:val="20"/>
        </w:rPr>
        <w:t xml:space="preserve"> OpenCivitas </w:t>
      </w:r>
      <w:r w:rsidRPr="003227C6">
        <w:rPr>
          <w:rFonts w:ascii="Verdana" w:hAnsi="Verdana"/>
          <w:iCs/>
          <w:sz w:val="20"/>
        </w:rPr>
        <w:t>(</w:t>
      </w:r>
      <w:r w:rsidRPr="003227C6">
        <w:rPr>
          <w:rFonts w:ascii="Verdana" w:hAnsi="Verdana"/>
          <w:sz w:val="20"/>
        </w:rPr>
        <w:t xml:space="preserve">sito promosso dal Dipartimento delle Finanze e dalla SOSE per determinare </w:t>
      </w:r>
      <w:r w:rsidRPr="003227C6">
        <w:rPr>
          <w:rFonts w:ascii="Verdana" w:hAnsi="Verdana"/>
          <w:iCs/>
          <w:sz w:val="20"/>
        </w:rPr>
        <w:t>i fabbisogni standard</w:t>
      </w:r>
      <w:r w:rsidRPr="00EB380E">
        <w:rPr>
          <w:rFonts w:ascii="Verdana" w:hAnsi="Verdana"/>
          <w:bCs/>
          <w:i/>
          <w:iCs/>
          <w:sz w:val="20"/>
        </w:rPr>
        <w:t xml:space="preserve"> </w:t>
      </w:r>
      <w:r w:rsidRPr="00EB380E">
        <w:rPr>
          <w:rFonts w:ascii="Verdana" w:hAnsi="Verdana"/>
          <w:sz w:val="20"/>
        </w:rPr>
        <w:t>delle varie amministrazioni locali</w:t>
      </w:r>
      <w:r>
        <w:rPr>
          <w:rFonts w:ascii="Verdana" w:hAnsi="Verdana"/>
          <w:sz w:val="20"/>
        </w:rPr>
        <w:t>)</w:t>
      </w:r>
      <w:r w:rsidRPr="00EB380E">
        <w:rPr>
          <w:rFonts w:ascii="Verdana" w:hAnsi="Verdana"/>
          <w:sz w:val="20"/>
        </w:rPr>
        <w:t>. Tali fabbisogni, calcolati comune per comune, indicano il costo ottimale del servizio di gestione dei rifiuti, calcolato in condizioni di efficienza e appropriatezza, garantendo i liv</w:t>
      </w:r>
      <w:r>
        <w:rPr>
          <w:rFonts w:ascii="Verdana" w:hAnsi="Verdana"/>
          <w:sz w:val="20"/>
        </w:rPr>
        <w:t xml:space="preserve">elli essenziali di prestazione. </w:t>
      </w:r>
      <w:r w:rsidRPr="00EB380E">
        <w:rPr>
          <w:rFonts w:ascii="Verdana" w:hAnsi="Verdana"/>
          <w:sz w:val="20"/>
        </w:rPr>
        <w:t xml:space="preserve">Scopo dello strumento è quello di confrontare le diverse realtà territoriali e verificare costi ed efficienza del servizio offerto a cittadini e imprese. </w:t>
      </w:r>
    </w:p>
    <w:p w:rsidR="00B26840" w:rsidRPr="003227C6" w:rsidRDefault="00B26840" w:rsidP="00B26840">
      <w:pPr>
        <w:jc w:val="both"/>
        <w:rPr>
          <w:rFonts w:ascii="Verdana" w:hAnsi="Verdana"/>
          <w:sz w:val="20"/>
        </w:rPr>
      </w:pPr>
      <w:r w:rsidRPr="003227C6">
        <w:rPr>
          <w:rFonts w:ascii="Verdana" w:hAnsi="Verdana"/>
          <w:sz w:val="20"/>
        </w:rPr>
        <w:t xml:space="preserve">Da un’analisi dei dati emerge, un quadro chiaro: la distribuzione dell’inefficienza è generalizzata, con il 62% dei Comuni capoluogo di provincia che registra una spesa mediamente superiore rispetto ai fabbisogni standard (il dato non tiene conto del livello quali-quantitativo offerto). In alcuni casi lo scostamento dal fabbisogno rilevato sfiora l’80%. </w:t>
      </w:r>
      <w:r>
        <w:rPr>
          <w:rFonts w:ascii="Verdana" w:hAnsi="Verdana"/>
          <w:sz w:val="20"/>
        </w:rPr>
        <w:t>I primi 5</w:t>
      </w:r>
      <w:r w:rsidRPr="003227C6">
        <w:rPr>
          <w:rFonts w:ascii="Verdana" w:hAnsi="Verdana"/>
          <w:sz w:val="20"/>
        </w:rPr>
        <w:t xml:space="preserve"> comuni che spendono più del fabbisogno sono: Asti (7</w:t>
      </w:r>
      <w:r>
        <w:rPr>
          <w:rFonts w:ascii="Verdana" w:hAnsi="Verdana"/>
          <w:sz w:val="20"/>
        </w:rPr>
        <w:t>7</w:t>
      </w:r>
      <w:r w:rsidRPr="003227C6">
        <w:rPr>
          <w:rFonts w:ascii="Verdana" w:hAnsi="Verdana"/>
          <w:sz w:val="20"/>
        </w:rPr>
        <w:t>%), Potenza (6</w:t>
      </w:r>
      <w:r>
        <w:rPr>
          <w:rFonts w:ascii="Verdana" w:hAnsi="Verdana"/>
          <w:sz w:val="20"/>
        </w:rPr>
        <w:t>7</w:t>
      </w:r>
      <w:r w:rsidRPr="003227C6">
        <w:rPr>
          <w:rFonts w:ascii="Verdana" w:hAnsi="Verdana"/>
          <w:sz w:val="20"/>
        </w:rPr>
        <w:t>%)</w:t>
      </w:r>
      <w:r>
        <w:rPr>
          <w:rFonts w:ascii="Verdana" w:hAnsi="Verdana"/>
          <w:sz w:val="20"/>
        </w:rPr>
        <w:t xml:space="preserve">, </w:t>
      </w:r>
      <w:r w:rsidRPr="003227C6">
        <w:rPr>
          <w:rFonts w:ascii="Verdana" w:hAnsi="Verdana"/>
          <w:sz w:val="20"/>
        </w:rPr>
        <w:t>Venezia (6</w:t>
      </w:r>
      <w:r>
        <w:rPr>
          <w:rFonts w:ascii="Verdana" w:hAnsi="Verdana"/>
          <w:sz w:val="20"/>
        </w:rPr>
        <w:t>7</w:t>
      </w:r>
      <w:r w:rsidRPr="003227C6">
        <w:rPr>
          <w:rFonts w:ascii="Verdana" w:hAnsi="Verdana"/>
          <w:sz w:val="20"/>
        </w:rPr>
        <w:t>%), Brindisi (6</w:t>
      </w:r>
      <w:r>
        <w:rPr>
          <w:rFonts w:ascii="Verdana" w:hAnsi="Verdana"/>
          <w:sz w:val="20"/>
        </w:rPr>
        <w:t>1</w:t>
      </w:r>
      <w:r w:rsidRPr="003227C6">
        <w:rPr>
          <w:rFonts w:ascii="Verdana" w:hAnsi="Verdana"/>
          <w:sz w:val="20"/>
        </w:rPr>
        <w:t>%)</w:t>
      </w:r>
      <w:r>
        <w:rPr>
          <w:rFonts w:ascii="Verdana" w:hAnsi="Verdana"/>
          <w:sz w:val="20"/>
        </w:rPr>
        <w:t>, Reggio Calabria (58%)</w:t>
      </w:r>
      <w:r w:rsidRPr="003227C6">
        <w:rPr>
          <w:rFonts w:ascii="Verdana" w:hAnsi="Verdana"/>
          <w:sz w:val="20"/>
        </w:rPr>
        <w:t xml:space="preserve">. </w:t>
      </w:r>
      <w:r>
        <w:rPr>
          <w:rFonts w:ascii="Verdana" w:hAnsi="Verdana"/>
          <w:sz w:val="20"/>
        </w:rPr>
        <w:t>I 5</w:t>
      </w:r>
      <w:r w:rsidRPr="003227C6">
        <w:rPr>
          <w:rFonts w:ascii="Verdana" w:hAnsi="Verdana"/>
          <w:sz w:val="20"/>
        </w:rPr>
        <w:t xml:space="preserve"> più virtuosi </w:t>
      </w:r>
      <w:r>
        <w:rPr>
          <w:rFonts w:ascii="Verdana" w:hAnsi="Verdana"/>
          <w:sz w:val="20"/>
        </w:rPr>
        <w:t>sono</w:t>
      </w:r>
      <w:r w:rsidRPr="003227C6">
        <w:rPr>
          <w:rFonts w:ascii="Verdana" w:hAnsi="Verdana"/>
          <w:sz w:val="20"/>
        </w:rPr>
        <w:t xml:space="preserve"> invece: Pistoia (-3</w:t>
      </w:r>
      <w:r>
        <w:rPr>
          <w:rFonts w:ascii="Verdana" w:hAnsi="Verdana"/>
          <w:sz w:val="20"/>
        </w:rPr>
        <w:t>3</w:t>
      </w:r>
      <w:r w:rsidRPr="003227C6">
        <w:rPr>
          <w:rFonts w:ascii="Verdana" w:hAnsi="Verdana"/>
          <w:sz w:val="20"/>
        </w:rPr>
        <w:t>%)</w:t>
      </w:r>
      <w:r>
        <w:rPr>
          <w:rFonts w:ascii="Verdana" w:hAnsi="Verdana"/>
          <w:sz w:val="20"/>
        </w:rPr>
        <w:t xml:space="preserve">, </w:t>
      </w:r>
      <w:r w:rsidRPr="003227C6">
        <w:rPr>
          <w:rFonts w:ascii="Verdana" w:hAnsi="Verdana"/>
          <w:sz w:val="20"/>
        </w:rPr>
        <w:t>Brescia (-2</w:t>
      </w:r>
      <w:r>
        <w:rPr>
          <w:rFonts w:ascii="Verdana" w:hAnsi="Verdana"/>
          <w:sz w:val="20"/>
        </w:rPr>
        <w:t>9</w:t>
      </w:r>
      <w:r w:rsidRPr="003227C6">
        <w:rPr>
          <w:rFonts w:ascii="Verdana" w:hAnsi="Verdana"/>
          <w:sz w:val="20"/>
        </w:rPr>
        <w:t>%)</w:t>
      </w:r>
      <w:r>
        <w:rPr>
          <w:rFonts w:ascii="Verdana" w:hAnsi="Verdana"/>
          <w:sz w:val="20"/>
        </w:rPr>
        <w:t xml:space="preserve">, </w:t>
      </w:r>
      <w:r w:rsidRPr="003227C6">
        <w:rPr>
          <w:rFonts w:ascii="Verdana" w:hAnsi="Verdana"/>
          <w:sz w:val="20"/>
        </w:rPr>
        <w:t>Prato (-2</w:t>
      </w:r>
      <w:r>
        <w:rPr>
          <w:rFonts w:ascii="Verdana" w:hAnsi="Verdana"/>
          <w:sz w:val="20"/>
        </w:rPr>
        <w:t>8</w:t>
      </w:r>
      <w:r w:rsidRPr="003227C6">
        <w:rPr>
          <w:rFonts w:ascii="Verdana" w:hAnsi="Verdana"/>
          <w:sz w:val="20"/>
        </w:rPr>
        <w:t>%)</w:t>
      </w:r>
      <w:r>
        <w:rPr>
          <w:rFonts w:ascii="Verdana" w:hAnsi="Verdana"/>
          <w:sz w:val="20"/>
        </w:rPr>
        <w:t>, Forlì (-27</w:t>
      </w:r>
      <w:r w:rsidRPr="003227C6">
        <w:rPr>
          <w:rFonts w:ascii="Verdana" w:hAnsi="Verdana"/>
          <w:sz w:val="20"/>
        </w:rPr>
        <w:t>%) e</w:t>
      </w:r>
      <w:r>
        <w:rPr>
          <w:rFonts w:ascii="Verdana" w:hAnsi="Verdana"/>
          <w:sz w:val="20"/>
        </w:rPr>
        <w:t xml:space="preserve"> Cesena (-26%)</w:t>
      </w:r>
      <w:r w:rsidRPr="003227C6">
        <w:rPr>
          <w:rFonts w:ascii="Verdana" w:hAnsi="Verdana"/>
          <w:sz w:val="20"/>
        </w:rPr>
        <w:t>.</w:t>
      </w:r>
    </w:p>
    <w:p w:rsidR="00B26840" w:rsidRPr="00AC03DF" w:rsidRDefault="00B26840" w:rsidP="00B26840">
      <w:pPr>
        <w:jc w:val="both"/>
        <w:rPr>
          <w:rFonts w:ascii="Verdana" w:hAnsi="Verdana"/>
          <w:sz w:val="20"/>
        </w:rPr>
      </w:pPr>
    </w:p>
    <w:p w:rsidR="00B26840" w:rsidRPr="00AF1544" w:rsidRDefault="00B26840" w:rsidP="00B26840">
      <w:pPr>
        <w:pStyle w:val="Paragrafoelenco"/>
        <w:numPr>
          <w:ilvl w:val="0"/>
          <w:numId w:val="1"/>
        </w:numPr>
        <w:spacing w:after="0" w:line="240" w:lineRule="auto"/>
        <w:rPr>
          <w:rFonts w:ascii="Verdana" w:hAnsi="Verdana"/>
          <w:b/>
          <w:sz w:val="18"/>
          <w:szCs w:val="18"/>
        </w:rPr>
      </w:pPr>
      <w:r w:rsidRPr="00AF1544">
        <w:rPr>
          <w:rFonts w:ascii="Verdana" w:hAnsi="Verdana"/>
          <w:b/>
          <w:sz w:val="18"/>
          <w:szCs w:val="18"/>
        </w:rPr>
        <w:t>DISTORTA APPLICAZIONE REGOLAMENTI</w:t>
      </w:r>
    </w:p>
    <w:p w:rsidR="00B26840" w:rsidRPr="00D413E1" w:rsidRDefault="00B26840" w:rsidP="00B26840">
      <w:pPr>
        <w:jc w:val="both"/>
        <w:rPr>
          <w:rFonts w:ascii="Verdana" w:hAnsi="Verdana"/>
          <w:i/>
          <w:sz w:val="20"/>
          <w:u w:val="single"/>
        </w:rPr>
      </w:pPr>
      <w:r w:rsidRPr="00D413E1">
        <w:rPr>
          <w:rFonts w:ascii="Verdana" w:hAnsi="Verdana"/>
          <w:i/>
          <w:sz w:val="20"/>
          <w:u w:val="single"/>
        </w:rPr>
        <w:t>Mancato scomputo dei rifiuti gestiti in autonomia dalle imprese</w:t>
      </w:r>
    </w:p>
    <w:p w:rsidR="00B26840" w:rsidRPr="00EB380E" w:rsidRDefault="00B26840" w:rsidP="00B26840">
      <w:pPr>
        <w:jc w:val="both"/>
        <w:rPr>
          <w:rFonts w:ascii="Verdana" w:hAnsi="Verdana"/>
          <w:sz w:val="20"/>
        </w:rPr>
      </w:pPr>
      <w:r w:rsidRPr="00EB380E">
        <w:rPr>
          <w:rFonts w:ascii="Verdana" w:hAnsi="Verdana"/>
          <w:sz w:val="20"/>
        </w:rPr>
        <w:t>Altro aspetto da sottolineare è che i Comuni continuano a far pagare la Tari anche su quelle aree dove sono le imprese stesse a dover provvedere autonomamente allo smaltimento dei rifiuti prodotti, facendosi carico dei relativi costi. Il risultato è che, in questi casi, l’impresa paga al Comune il costo di un servizio che non viene mai erogato.</w:t>
      </w:r>
    </w:p>
    <w:p w:rsidR="00B26840" w:rsidRPr="00EB380E" w:rsidRDefault="00B26840" w:rsidP="00B26840">
      <w:pPr>
        <w:jc w:val="both"/>
        <w:rPr>
          <w:rFonts w:ascii="Verdana" w:hAnsi="Verdana"/>
          <w:sz w:val="20"/>
        </w:rPr>
      </w:pPr>
      <w:r w:rsidRPr="00EB380E">
        <w:rPr>
          <w:rFonts w:ascii="Verdana" w:hAnsi="Verdana"/>
          <w:sz w:val="20"/>
        </w:rPr>
        <w:t>Da elaborazioni d</w:t>
      </w:r>
      <w:r>
        <w:rPr>
          <w:rFonts w:ascii="Verdana" w:hAnsi="Verdana"/>
          <w:sz w:val="20"/>
        </w:rPr>
        <w:t>e</w:t>
      </w:r>
      <w:r w:rsidRPr="00EB380E">
        <w:rPr>
          <w:rFonts w:ascii="Verdana" w:hAnsi="Verdana"/>
          <w:sz w:val="20"/>
        </w:rPr>
        <w:t xml:space="preserve">l portale Confcommercio </w:t>
      </w:r>
      <w:hyperlink r:id="rId10" w:history="1">
        <w:r w:rsidRPr="00F244C0">
          <w:rPr>
            <w:rStyle w:val="Collegamentoipertestuale"/>
            <w:rFonts w:ascii="Verdana" w:hAnsi="Verdana"/>
            <w:color w:val="4F81BD"/>
            <w:sz w:val="20"/>
          </w:rPr>
          <w:t>www.osservatoriotasselocali.it</w:t>
        </w:r>
      </w:hyperlink>
      <w:r w:rsidRPr="00EB380E">
        <w:rPr>
          <w:rFonts w:ascii="Verdana" w:hAnsi="Verdana"/>
          <w:sz w:val="20"/>
        </w:rPr>
        <w:t>, risulta, ad esempio, che a Roma, un magazzino all’ingrosso di ferramenta con superficie complessiva di 200 metri quadri</w:t>
      </w:r>
      <w:r>
        <w:rPr>
          <w:rFonts w:ascii="Verdana" w:hAnsi="Verdana"/>
          <w:sz w:val="20"/>
        </w:rPr>
        <w:t>,</w:t>
      </w:r>
      <w:r w:rsidRPr="00EB380E">
        <w:rPr>
          <w:rFonts w:ascii="Verdana" w:hAnsi="Verdana"/>
          <w:sz w:val="20"/>
        </w:rPr>
        <w:t xml:space="preserve"> di cui 80 destinati ad area produttiva (aree ove si effettuano lavorazioni o stoccaggio di prodotti finiti o semilavorati), paga oggi una Tari di 2.942 euro quando, in realtà, l’importo corretto dovrebbe essere di 1.176 euro. Il maggior costo </w:t>
      </w:r>
      <w:r>
        <w:rPr>
          <w:rFonts w:ascii="Verdana" w:hAnsi="Verdana"/>
          <w:sz w:val="20"/>
        </w:rPr>
        <w:t xml:space="preserve">a carico dell’impresa è del 60%; </w:t>
      </w:r>
      <w:r w:rsidRPr="00EB380E">
        <w:rPr>
          <w:rFonts w:ascii="Verdana" w:hAnsi="Verdana"/>
          <w:sz w:val="20"/>
        </w:rPr>
        <w:t>sempre a Roma, un distributore di carburante di 300 mq</w:t>
      </w:r>
      <w:r>
        <w:rPr>
          <w:rFonts w:ascii="Verdana" w:hAnsi="Verdana"/>
          <w:sz w:val="20"/>
        </w:rPr>
        <w:t>,</w:t>
      </w:r>
      <w:r w:rsidRPr="00EB380E">
        <w:rPr>
          <w:rFonts w:ascii="Verdana" w:hAnsi="Verdana"/>
          <w:sz w:val="20"/>
        </w:rPr>
        <w:t xml:space="preserve"> di cui 50 mq dedicati ad officina</w:t>
      </w:r>
      <w:r>
        <w:rPr>
          <w:rFonts w:ascii="Verdana" w:hAnsi="Verdana"/>
          <w:sz w:val="20"/>
        </w:rPr>
        <w:t>,</w:t>
      </w:r>
      <w:r w:rsidRPr="00EB380E">
        <w:rPr>
          <w:rFonts w:ascii="Verdana" w:hAnsi="Verdana"/>
          <w:sz w:val="20"/>
        </w:rPr>
        <w:t xml:space="preserve"> paga oggi una Tari di 2.667</w:t>
      </w:r>
      <w:r w:rsidRPr="00EB380E">
        <w:rPr>
          <w:rFonts w:ascii="Verdana" w:hAnsi="Verdana" w:cs="Helvetica"/>
          <w:sz w:val="20"/>
        </w:rPr>
        <w:t xml:space="preserve"> </w:t>
      </w:r>
      <w:r w:rsidRPr="00EB380E">
        <w:rPr>
          <w:rFonts w:ascii="Verdana" w:hAnsi="Verdana"/>
          <w:sz w:val="20"/>
        </w:rPr>
        <w:t>euro</w:t>
      </w:r>
      <w:r w:rsidRPr="00EB380E">
        <w:rPr>
          <w:rFonts w:ascii="Verdana" w:hAnsi="Verdana" w:cs="Helvetica"/>
          <w:sz w:val="20"/>
        </w:rPr>
        <w:t xml:space="preserve"> </w:t>
      </w:r>
      <w:r w:rsidRPr="00EB380E">
        <w:rPr>
          <w:rFonts w:ascii="Verdana" w:hAnsi="Verdana"/>
          <w:sz w:val="20"/>
        </w:rPr>
        <w:t>quando invece l’importo corretto dovrebbe essere di 446 euro. Il maggior costo a carico dell’impresa, sfora in questo caso l’83%.</w:t>
      </w:r>
    </w:p>
    <w:p w:rsidR="00B26840" w:rsidRPr="00EB380E" w:rsidRDefault="00B26840" w:rsidP="00B26840">
      <w:pPr>
        <w:jc w:val="both"/>
        <w:rPr>
          <w:rFonts w:ascii="Verdana" w:hAnsi="Verdana"/>
          <w:sz w:val="20"/>
        </w:rPr>
      </w:pPr>
    </w:p>
    <w:p w:rsidR="00B26840" w:rsidRPr="00D413E1" w:rsidRDefault="00B26840" w:rsidP="00B26840">
      <w:pPr>
        <w:jc w:val="both"/>
        <w:rPr>
          <w:rFonts w:ascii="Verdana" w:hAnsi="Verdana"/>
          <w:i/>
          <w:sz w:val="20"/>
          <w:u w:val="single"/>
        </w:rPr>
      </w:pPr>
      <w:r w:rsidRPr="00D413E1">
        <w:rPr>
          <w:rFonts w:ascii="Verdana" w:hAnsi="Verdana"/>
          <w:i/>
          <w:sz w:val="20"/>
          <w:u w:val="single"/>
        </w:rPr>
        <w:t>Mancata esclusione delle aree a bassa produttività</w:t>
      </w:r>
    </w:p>
    <w:p w:rsidR="00B26840" w:rsidRPr="00EB380E" w:rsidRDefault="00B26840" w:rsidP="00B26840">
      <w:pPr>
        <w:jc w:val="both"/>
        <w:rPr>
          <w:rFonts w:ascii="Verdana" w:hAnsi="Verdana"/>
          <w:sz w:val="20"/>
        </w:rPr>
      </w:pPr>
      <w:r w:rsidRPr="00EB380E">
        <w:rPr>
          <w:rFonts w:ascii="Verdana" w:hAnsi="Verdana"/>
          <w:sz w:val="20"/>
        </w:rPr>
        <w:t>Emblematici sono anche i casi delle aree espositive, tipicamente di grandi dimensioni ma con una ridottissima produzione dei rifiuti: basti pensare ai mobilifici o agli spazi espositivi dei concessionari di automobili, ove la reale area «produttiva» di rifiuti, rappresenta mediamente solo il 15% della superficie totale. A queste imprese la tassa sui rifiuti viene oggi calcolata invece sull’intera superficie.</w:t>
      </w:r>
    </w:p>
    <w:p w:rsidR="00B26840" w:rsidRPr="00EB380E" w:rsidRDefault="00B26840" w:rsidP="00B26840">
      <w:pPr>
        <w:jc w:val="both"/>
        <w:rPr>
          <w:rFonts w:ascii="Verdana" w:hAnsi="Verdana"/>
          <w:sz w:val="20"/>
        </w:rPr>
      </w:pPr>
      <w:r w:rsidRPr="00EB380E">
        <w:rPr>
          <w:rFonts w:ascii="Verdana" w:hAnsi="Verdana"/>
          <w:sz w:val="20"/>
        </w:rPr>
        <w:t>Un’area espositiva di 2</w:t>
      </w:r>
      <w:r>
        <w:rPr>
          <w:rFonts w:ascii="Verdana" w:hAnsi="Verdana"/>
          <w:sz w:val="20"/>
        </w:rPr>
        <w:t>.</w:t>
      </w:r>
      <w:r w:rsidRPr="00EB380E">
        <w:rPr>
          <w:rFonts w:ascii="Verdana" w:hAnsi="Verdana"/>
          <w:sz w:val="20"/>
        </w:rPr>
        <w:t>000 mq, sempre a Roma, paga 13.545 euro a fronte dei 2.031 euro che avrebbe dovuto pagare sui 300 mq di</w:t>
      </w:r>
      <w:r w:rsidRPr="00EB380E">
        <w:rPr>
          <w:rFonts w:ascii="Verdana" w:hAnsi="Verdana" w:cs="Helvetica"/>
          <w:sz w:val="20"/>
        </w:rPr>
        <w:t xml:space="preserve"> </w:t>
      </w:r>
      <w:r w:rsidRPr="00EB380E">
        <w:rPr>
          <w:rFonts w:ascii="Verdana" w:hAnsi="Verdana"/>
          <w:sz w:val="20"/>
        </w:rPr>
        <w:t>reale area «produttiva» di rifiuti. Un aggravio dell’85%.</w:t>
      </w:r>
    </w:p>
    <w:p w:rsidR="00B26840" w:rsidRPr="00F244C0" w:rsidRDefault="00B26840" w:rsidP="00B26840">
      <w:pPr>
        <w:jc w:val="both"/>
        <w:rPr>
          <w:rFonts w:ascii="Verdana" w:eastAsia="Calibri" w:hAnsi="Verdana"/>
          <w:i/>
          <w:sz w:val="20"/>
        </w:rPr>
      </w:pPr>
    </w:p>
    <w:p w:rsidR="00B26840" w:rsidRPr="00D413E1" w:rsidRDefault="00B26840" w:rsidP="00B26840">
      <w:pPr>
        <w:jc w:val="both"/>
        <w:rPr>
          <w:rFonts w:ascii="Verdana" w:hAnsi="Verdana"/>
          <w:i/>
          <w:sz w:val="20"/>
          <w:u w:val="single"/>
        </w:rPr>
      </w:pPr>
      <w:r w:rsidRPr="00D413E1">
        <w:rPr>
          <w:rFonts w:ascii="Verdana" w:hAnsi="Verdana"/>
          <w:i/>
          <w:sz w:val="20"/>
          <w:u w:val="single"/>
        </w:rPr>
        <w:t>Non corretta individuazione delle categorie economiche</w:t>
      </w:r>
    </w:p>
    <w:p w:rsidR="00B26840" w:rsidRPr="007C3AC4" w:rsidRDefault="00B26840" w:rsidP="00B26840">
      <w:pPr>
        <w:jc w:val="both"/>
        <w:rPr>
          <w:rFonts w:ascii="Verdana" w:hAnsi="Verdana"/>
          <w:sz w:val="20"/>
        </w:rPr>
      </w:pPr>
      <w:r w:rsidRPr="00AC03DF">
        <w:rPr>
          <w:rFonts w:ascii="Verdana" w:hAnsi="Verdana"/>
          <w:sz w:val="20"/>
        </w:rPr>
        <w:t xml:space="preserve">Un caso eclatante di non corretta individuazione delle categorie economiche riguarda gli </w:t>
      </w:r>
      <w:r w:rsidRPr="007C3AC4">
        <w:rPr>
          <w:rFonts w:ascii="Verdana" w:hAnsi="Verdana"/>
          <w:sz w:val="20"/>
        </w:rPr>
        <w:t>alberghi, generalmente soggetti a coefficienti fortemente squilibrati rispetto al potenziale produtt</w:t>
      </w:r>
      <w:r>
        <w:rPr>
          <w:rFonts w:ascii="Verdana" w:hAnsi="Verdana"/>
          <w:sz w:val="20"/>
        </w:rPr>
        <w:t>ivo di rifiuti. Secondo</w:t>
      </w:r>
      <w:r w:rsidRPr="007C3AC4">
        <w:rPr>
          <w:rFonts w:ascii="Verdana" w:hAnsi="Verdana"/>
          <w:sz w:val="20"/>
        </w:rPr>
        <w:t xml:space="preserve"> una sentenza del Tar della Puglia (sentenza n. 570 del 12 marzo 2013) </w:t>
      </w:r>
      <w:r>
        <w:rPr>
          <w:rFonts w:ascii="Verdana" w:hAnsi="Verdana"/>
          <w:sz w:val="20"/>
        </w:rPr>
        <w:t>s</w:t>
      </w:r>
      <w:r w:rsidRPr="007C3AC4">
        <w:rPr>
          <w:rFonts w:ascii="Verdana" w:hAnsi="Verdana"/>
          <w:sz w:val="20"/>
        </w:rPr>
        <w:t>e può considerarsi giustificato un regime di tassazione più elevato per gli alberghi con servizio di ristorazione, in considerazione del fatto che l’esercizio di un’attività di questo tipo può determinare una produzione quantitativamente e qualitativamente significativa di rifiuti, discorso differente deve essere fatto per gli alberghi privi del servizio di ristorazione. Non si comprende, infatti, perché un albergo che non eroga servizi di ristorazione e che, quindi, manifesta una capacità di produrre rifiuti pari o, addirittura, inferiore a quella delle abitazioni private, in relazione alla mancata o ridotta produzione di rifiuti organici, debba essere assoggettato ad un regime di tassazione più elevato rispetto a quello previsto per le abitazioni private.</w:t>
      </w:r>
    </w:p>
    <w:p w:rsidR="00B26840" w:rsidRPr="007C3AC4" w:rsidRDefault="00B26840" w:rsidP="00B26840">
      <w:pPr>
        <w:jc w:val="both"/>
        <w:rPr>
          <w:rFonts w:ascii="Verdana" w:hAnsi="Verdana"/>
          <w:sz w:val="20"/>
        </w:rPr>
      </w:pPr>
      <w:r w:rsidRPr="007C3AC4">
        <w:rPr>
          <w:rFonts w:ascii="Verdana" w:hAnsi="Verdana"/>
          <w:sz w:val="20"/>
        </w:rPr>
        <w:t>Un albergo senza ristorante di 150 mq paga una tariffa pari a 1</w:t>
      </w:r>
      <w:r>
        <w:rPr>
          <w:rFonts w:ascii="Verdana" w:hAnsi="Verdana"/>
          <w:sz w:val="20"/>
        </w:rPr>
        <w:t>.</w:t>
      </w:r>
      <w:r w:rsidRPr="007C3AC4">
        <w:rPr>
          <w:rFonts w:ascii="Verdana" w:hAnsi="Verdana"/>
          <w:sz w:val="20"/>
        </w:rPr>
        <w:t>345 euro mentre, considerando l’aliquota applicata alla civile abitazione, avrebbe dovuto pagare, a parità di mq, solo 382 euro.</w:t>
      </w:r>
    </w:p>
    <w:p w:rsidR="00B26840" w:rsidRPr="00AC03DF" w:rsidRDefault="00B26840" w:rsidP="00B26840">
      <w:pPr>
        <w:jc w:val="both"/>
        <w:rPr>
          <w:rFonts w:ascii="Verdana" w:hAnsi="Verdana"/>
          <w:sz w:val="20"/>
        </w:rPr>
      </w:pPr>
    </w:p>
    <w:p w:rsidR="00B26840" w:rsidRPr="00D413E1" w:rsidRDefault="00B26840" w:rsidP="00B26840">
      <w:pPr>
        <w:jc w:val="both"/>
        <w:rPr>
          <w:rFonts w:ascii="Verdana" w:hAnsi="Verdana"/>
          <w:i/>
          <w:sz w:val="20"/>
          <w:u w:val="single"/>
        </w:rPr>
      </w:pPr>
      <w:r w:rsidRPr="00D413E1">
        <w:rPr>
          <w:rFonts w:ascii="Verdana" w:hAnsi="Verdana"/>
          <w:i/>
          <w:sz w:val="20"/>
          <w:u w:val="single"/>
        </w:rPr>
        <w:t>Mancata considerazione della stagionalità</w:t>
      </w:r>
    </w:p>
    <w:p w:rsidR="00B26840" w:rsidRPr="007C3AC4" w:rsidRDefault="00B26840" w:rsidP="00B26840">
      <w:pPr>
        <w:jc w:val="both"/>
        <w:rPr>
          <w:rFonts w:ascii="Verdana" w:hAnsi="Verdana"/>
          <w:sz w:val="20"/>
          <w:shd w:val="clear" w:color="auto" w:fill="FFFFFF"/>
        </w:rPr>
      </w:pPr>
      <w:r w:rsidRPr="00AC03DF">
        <w:rPr>
          <w:rFonts w:ascii="Verdana" w:hAnsi="Verdana"/>
          <w:sz w:val="20"/>
          <w:shd w:val="clear" w:color="auto" w:fill="FFFFFF"/>
        </w:rPr>
        <w:t xml:space="preserve">Ulteriore esempio di palese violazione del principio comunitario «chi inquina paga» riguarda i casi </w:t>
      </w:r>
      <w:r w:rsidRPr="007C3AC4">
        <w:rPr>
          <w:rFonts w:ascii="Verdana" w:hAnsi="Verdana"/>
          <w:sz w:val="20"/>
          <w:shd w:val="clear" w:color="auto" w:fill="FFFFFF"/>
        </w:rPr>
        <w:t>di stagionalità delle attività. Numerosi sono, infatti, i regolamenti</w:t>
      </w:r>
      <w:r>
        <w:rPr>
          <w:rFonts w:ascii="Verdana" w:hAnsi="Verdana"/>
          <w:sz w:val="20"/>
          <w:shd w:val="clear" w:color="auto" w:fill="FFFFFF"/>
        </w:rPr>
        <w:t xml:space="preserve"> comunali che, illegittimamente</w:t>
      </w:r>
      <w:r w:rsidRPr="007C3AC4">
        <w:rPr>
          <w:rFonts w:ascii="Verdana" w:hAnsi="Verdana"/>
          <w:sz w:val="20"/>
          <w:shd w:val="clear" w:color="auto" w:fill="FFFFFF"/>
        </w:rPr>
        <w:t>, non riconoscono alcuna agevolazione nelle ipotesi di locali, diversi dalle abitazioni, ed aree scoperte adibiti ad uso stagionale o ad uso non continuativo, ma ricorrente.</w:t>
      </w:r>
    </w:p>
    <w:p w:rsidR="00B26840" w:rsidRPr="00AC03DF" w:rsidRDefault="00B26840" w:rsidP="00B26840">
      <w:pPr>
        <w:jc w:val="both"/>
        <w:rPr>
          <w:rFonts w:ascii="Verdana" w:hAnsi="Verdana"/>
          <w:b/>
          <w:sz w:val="20"/>
          <w:shd w:val="clear" w:color="auto" w:fill="FFFFFF"/>
        </w:rPr>
      </w:pPr>
      <w:r w:rsidRPr="007C3AC4">
        <w:rPr>
          <w:rFonts w:ascii="Verdana" w:hAnsi="Verdana"/>
          <w:sz w:val="20"/>
          <w:shd w:val="clear" w:color="auto" w:fill="FFFFFF"/>
        </w:rPr>
        <w:t>Ecco alcune proiezioni, sul comune di Fiumicino (provincia di Roma), considerando una stagionalità di 5 mesi e la riduzione del 10% attualmente riconosciuta dal Comune alle attività stagionali, che fanno comprendere la portata del problema e dei rincari ingiustificati</w:t>
      </w:r>
      <w:r>
        <w:rPr>
          <w:rFonts w:ascii="Verdana" w:hAnsi="Verdana"/>
          <w:sz w:val="20"/>
          <w:shd w:val="clear" w:color="auto" w:fill="FFFFFF"/>
        </w:rPr>
        <w:t xml:space="preserve"> che gravano su alcune attività: u</w:t>
      </w:r>
      <w:r w:rsidRPr="007C3AC4">
        <w:rPr>
          <w:rFonts w:ascii="Verdana" w:hAnsi="Verdana"/>
          <w:sz w:val="20"/>
          <w:shd w:val="clear" w:color="auto" w:fill="FFFFFF"/>
        </w:rPr>
        <w:t>n campeggio di 5</w:t>
      </w:r>
      <w:r>
        <w:rPr>
          <w:rFonts w:ascii="Verdana" w:hAnsi="Verdana"/>
          <w:sz w:val="20"/>
          <w:shd w:val="clear" w:color="auto" w:fill="FFFFFF"/>
        </w:rPr>
        <w:t>.</w:t>
      </w:r>
      <w:r w:rsidRPr="007C3AC4">
        <w:rPr>
          <w:rFonts w:ascii="Verdana" w:hAnsi="Verdana"/>
          <w:sz w:val="20"/>
          <w:shd w:val="clear" w:color="auto" w:fill="FFFFFF"/>
        </w:rPr>
        <w:t>000 mq paga 13.136 euro quando per i soli 5 mesi di attività avrebbe dovuto pagarne 5.473</w:t>
      </w:r>
      <w:r>
        <w:rPr>
          <w:rFonts w:ascii="Verdana" w:hAnsi="Verdana"/>
          <w:sz w:val="20"/>
          <w:shd w:val="clear" w:color="auto" w:fill="FFFFFF"/>
        </w:rPr>
        <w:t>; u</w:t>
      </w:r>
      <w:r w:rsidRPr="007C3AC4">
        <w:rPr>
          <w:rFonts w:ascii="Verdana" w:hAnsi="Verdana"/>
          <w:sz w:val="20"/>
          <w:shd w:val="clear" w:color="auto" w:fill="FFFFFF"/>
        </w:rPr>
        <w:t>no stabilimento balneare di 600 mq, nello stesso comune, paga 1.037 euro a fronte dei 432</w:t>
      </w:r>
      <w:r w:rsidRPr="00AC03DF">
        <w:rPr>
          <w:rFonts w:ascii="Verdana" w:hAnsi="Verdana"/>
          <w:b/>
          <w:sz w:val="20"/>
          <w:shd w:val="clear" w:color="auto" w:fill="FFFFFF"/>
        </w:rPr>
        <w:t xml:space="preserve"> </w:t>
      </w:r>
      <w:r w:rsidRPr="00AC03DF">
        <w:rPr>
          <w:rFonts w:ascii="Verdana" w:hAnsi="Verdana"/>
          <w:sz w:val="20"/>
          <w:shd w:val="clear" w:color="auto" w:fill="FFFFFF"/>
        </w:rPr>
        <w:t>che, invece, avrebbe dovuto pagare.</w:t>
      </w:r>
    </w:p>
    <w:p w:rsidR="00B26840" w:rsidRPr="00AC03DF" w:rsidRDefault="00B26840" w:rsidP="00B26840">
      <w:pPr>
        <w:jc w:val="both"/>
        <w:rPr>
          <w:rFonts w:ascii="Verdana" w:hAnsi="Verdana"/>
          <w:sz w:val="20"/>
        </w:rPr>
      </w:pPr>
    </w:p>
    <w:p w:rsidR="00B26840" w:rsidRPr="00AF1544" w:rsidRDefault="00B26840" w:rsidP="00B26840">
      <w:pPr>
        <w:pStyle w:val="Paragrafoelenco"/>
        <w:numPr>
          <w:ilvl w:val="0"/>
          <w:numId w:val="1"/>
        </w:numPr>
        <w:spacing w:after="0" w:line="240" w:lineRule="auto"/>
        <w:rPr>
          <w:rFonts w:ascii="Verdana" w:hAnsi="Verdana"/>
          <w:b/>
          <w:sz w:val="18"/>
          <w:szCs w:val="18"/>
        </w:rPr>
      </w:pPr>
      <w:r w:rsidRPr="00AF1544">
        <w:rPr>
          <w:rFonts w:ascii="Verdana" w:hAnsi="Verdana"/>
          <w:b/>
          <w:sz w:val="18"/>
          <w:szCs w:val="18"/>
        </w:rPr>
        <w:t>COEFFICIENTI SEMPRE VERSO L’ALTO</w:t>
      </w:r>
    </w:p>
    <w:p w:rsidR="00B26840" w:rsidRPr="007C3AC4" w:rsidRDefault="00B26840" w:rsidP="00B26840">
      <w:pPr>
        <w:jc w:val="both"/>
        <w:rPr>
          <w:rFonts w:ascii="Verdana" w:hAnsi="Verdana"/>
          <w:sz w:val="20"/>
        </w:rPr>
      </w:pPr>
      <w:r w:rsidRPr="007C3AC4">
        <w:rPr>
          <w:rFonts w:ascii="Verdana" w:hAnsi="Verdana"/>
          <w:sz w:val="20"/>
        </w:rPr>
        <w:t xml:space="preserve">Parte dell’importo tariffario è determinato moltiplicando la superficie per specifici coefficienti di producibilità stabiliti per le singole categorie merceologiche. La legge si è limitata a prevedere un intervallo di valori, </w:t>
      </w:r>
      <w:r w:rsidRPr="007C3AC4">
        <w:rPr>
          <w:rFonts w:ascii="Verdana" w:hAnsi="Verdana"/>
          <w:bCs/>
          <w:sz w:val="20"/>
        </w:rPr>
        <w:t>lasciando ai Comuni la scelta del coefficiente più adeguato</w:t>
      </w:r>
      <w:r w:rsidRPr="007C3AC4">
        <w:rPr>
          <w:rFonts w:ascii="Verdana" w:hAnsi="Verdana"/>
          <w:sz w:val="20"/>
        </w:rPr>
        <w:t xml:space="preserve">. </w:t>
      </w:r>
    </w:p>
    <w:p w:rsidR="00B26840" w:rsidRPr="007C3AC4" w:rsidRDefault="00B26840" w:rsidP="00B26840">
      <w:pPr>
        <w:jc w:val="both"/>
        <w:rPr>
          <w:rFonts w:ascii="Verdana" w:hAnsi="Verdana"/>
          <w:sz w:val="20"/>
        </w:rPr>
      </w:pPr>
      <w:r w:rsidRPr="007C3AC4">
        <w:rPr>
          <w:rFonts w:ascii="Verdana" w:hAnsi="Verdana"/>
          <w:bCs/>
          <w:sz w:val="20"/>
        </w:rPr>
        <w:t xml:space="preserve">La maggior parte delle amministrazioni locali si è posizionata sui valori più elevati del </w:t>
      </w:r>
      <w:r w:rsidRPr="007C3AC4">
        <w:rPr>
          <w:rFonts w:ascii="Verdana" w:hAnsi="Verdana"/>
          <w:bCs/>
          <w:i/>
          <w:iCs/>
          <w:sz w:val="20"/>
        </w:rPr>
        <w:t>range</w:t>
      </w:r>
      <w:r w:rsidRPr="007C3AC4">
        <w:rPr>
          <w:rFonts w:ascii="Verdana" w:hAnsi="Verdana"/>
          <w:bCs/>
          <w:sz w:val="20"/>
        </w:rPr>
        <w:t>.</w:t>
      </w:r>
    </w:p>
    <w:p w:rsidR="00B26840" w:rsidRPr="00AC03DF" w:rsidRDefault="00B26840" w:rsidP="00B26840">
      <w:pPr>
        <w:jc w:val="both"/>
        <w:rPr>
          <w:rFonts w:ascii="Verdana" w:hAnsi="Verdana"/>
          <w:sz w:val="20"/>
        </w:rPr>
      </w:pPr>
      <w:r w:rsidRPr="00AC03DF">
        <w:rPr>
          <w:rFonts w:ascii="Verdana" w:hAnsi="Verdana"/>
          <w:sz w:val="20"/>
        </w:rPr>
        <w:t>L’ultima Legge di Stabilità non ri</w:t>
      </w:r>
      <w:r>
        <w:rPr>
          <w:rFonts w:ascii="Verdana" w:hAnsi="Verdana"/>
          <w:sz w:val="20"/>
        </w:rPr>
        <w:t>s</w:t>
      </w:r>
      <w:r w:rsidRPr="00AC03DF">
        <w:rPr>
          <w:rFonts w:ascii="Verdana" w:hAnsi="Verdana"/>
          <w:sz w:val="20"/>
        </w:rPr>
        <w:t xml:space="preserve">olve questa criticità avendo allungato il periodo temporale (a tutto il 2018) in cui i Comuni potranno continuare a derogare, nella determinazione delle tariffe del tributo, ai limiti fissati dal Dpr n. 158/1999 in misura superiore ai massimi del 50%. Una libertà che ha sempre svantaggiato in particolare le utenze con una maggiore produttività di rifiuti (ristoranti, pizzerie, ortofrutta e pescherie). </w:t>
      </w:r>
    </w:p>
    <w:p w:rsidR="00B26840" w:rsidRPr="007C3AC4" w:rsidRDefault="00B26840" w:rsidP="00B26840">
      <w:pPr>
        <w:jc w:val="both"/>
        <w:rPr>
          <w:rFonts w:ascii="Verdana" w:hAnsi="Verdana"/>
          <w:sz w:val="20"/>
        </w:rPr>
      </w:pPr>
    </w:p>
    <w:p w:rsidR="00B26840" w:rsidRPr="00AF1544" w:rsidRDefault="00B26840" w:rsidP="00B26840">
      <w:pPr>
        <w:pStyle w:val="Paragrafoelenco"/>
        <w:numPr>
          <w:ilvl w:val="0"/>
          <w:numId w:val="1"/>
        </w:numPr>
        <w:spacing w:after="0" w:line="240" w:lineRule="auto"/>
        <w:rPr>
          <w:rFonts w:ascii="Verdana" w:hAnsi="Verdana"/>
          <w:b/>
          <w:sz w:val="18"/>
          <w:szCs w:val="18"/>
        </w:rPr>
      </w:pPr>
      <w:r w:rsidRPr="00AF1544">
        <w:rPr>
          <w:rFonts w:ascii="Verdana" w:hAnsi="Verdana"/>
          <w:b/>
          <w:sz w:val="18"/>
          <w:szCs w:val="18"/>
        </w:rPr>
        <w:t>ECCESSIVA DISCREZIONALITÀ</w:t>
      </w:r>
    </w:p>
    <w:p w:rsidR="00B26840" w:rsidRPr="00AC03DF" w:rsidRDefault="00B26840" w:rsidP="00B26840">
      <w:pPr>
        <w:jc w:val="both"/>
        <w:rPr>
          <w:rFonts w:ascii="Verdana" w:hAnsi="Verdana"/>
          <w:sz w:val="20"/>
        </w:rPr>
      </w:pPr>
      <w:r w:rsidRPr="00AC03DF">
        <w:rPr>
          <w:rFonts w:ascii="Verdana" w:hAnsi="Verdana"/>
          <w:sz w:val="20"/>
        </w:rPr>
        <w:t>Altra criticità è l’elevata discrezionalità assicurata agli enti locali e la mancanza di linee guida sull’applicazione della TARI che hanno causato una profonda disomogeneità dei costi per il servizio di gestione dei rifiuti, con scostamenti enormi anche tra Comuni limitrofi. Si riportano tre esempi rappresentativi delle distorsioni tariffarie.</w:t>
      </w:r>
    </w:p>
    <w:p w:rsidR="00B26840" w:rsidRPr="00AC03DF" w:rsidRDefault="00B26840" w:rsidP="00B26840">
      <w:pPr>
        <w:jc w:val="both"/>
        <w:rPr>
          <w:rFonts w:ascii="Verdana" w:hAnsi="Verdana"/>
          <w:sz w:val="20"/>
        </w:rPr>
      </w:pPr>
    </w:p>
    <w:p w:rsidR="00B26840" w:rsidRPr="00D413E1" w:rsidRDefault="00B26840" w:rsidP="00B26840">
      <w:pPr>
        <w:jc w:val="both"/>
        <w:rPr>
          <w:rFonts w:ascii="Verdana" w:hAnsi="Verdana"/>
          <w:i/>
          <w:sz w:val="20"/>
          <w:u w:val="single"/>
        </w:rPr>
      </w:pPr>
      <w:r w:rsidRPr="00D413E1">
        <w:rPr>
          <w:rFonts w:ascii="Verdana" w:hAnsi="Verdana"/>
          <w:i/>
          <w:sz w:val="20"/>
          <w:u w:val="single"/>
        </w:rPr>
        <w:t>Effetti sui cittadini</w:t>
      </w:r>
    </w:p>
    <w:p w:rsidR="00B26840" w:rsidRPr="007C3AC4" w:rsidRDefault="00B26840" w:rsidP="00B26840">
      <w:pPr>
        <w:jc w:val="both"/>
        <w:rPr>
          <w:rFonts w:ascii="Verdana" w:hAnsi="Verdana"/>
          <w:sz w:val="20"/>
        </w:rPr>
      </w:pPr>
      <w:r w:rsidRPr="007C3AC4">
        <w:rPr>
          <w:rFonts w:ascii="Verdana" w:hAnsi="Verdana"/>
          <w:sz w:val="20"/>
        </w:rPr>
        <w:t xml:space="preserve">Dai dati tratti da </w:t>
      </w:r>
      <w:r w:rsidRPr="007C3AC4">
        <w:rPr>
          <w:rFonts w:ascii="Verdana" w:hAnsi="Verdana"/>
          <w:i/>
          <w:iCs/>
          <w:sz w:val="20"/>
        </w:rPr>
        <w:t>OpenCivitas</w:t>
      </w:r>
      <w:r w:rsidRPr="007C3AC4">
        <w:rPr>
          <w:rFonts w:ascii="Verdana" w:hAnsi="Verdana"/>
          <w:sz w:val="20"/>
        </w:rPr>
        <w:t xml:space="preserve"> si ricava che</w:t>
      </w:r>
      <w:r>
        <w:rPr>
          <w:rFonts w:ascii="Verdana" w:hAnsi="Verdana"/>
          <w:sz w:val="20"/>
        </w:rPr>
        <w:t>,</w:t>
      </w:r>
      <w:r w:rsidRPr="007C3AC4">
        <w:rPr>
          <w:rFonts w:ascii="Verdana" w:hAnsi="Verdana"/>
          <w:sz w:val="20"/>
        </w:rPr>
        <w:t xml:space="preserve"> </w:t>
      </w:r>
      <w:r>
        <w:rPr>
          <w:rFonts w:ascii="Verdana" w:hAnsi="Verdana"/>
          <w:sz w:val="20"/>
        </w:rPr>
        <w:t>i</w:t>
      </w:r>
      <w:r w:rsidRPr="007C3AC4">
        <w:rPr>
          <w:rFonts w:ascii="Verdana" w:hAnsi="Verdana"/>
          <w:sz w:val="20"/>
        </w:rPr>
        <w:t>n provincia di Bergamo, il Comune di Barzana registra un costo unitario per abitante di 55€</w:t>
      </w:r>
      <w:r>
        <w:rPr>
          <w:rFonts w:ascii="Verdana" w:hAnsi="Verdana"/>
          <w:sz w:val="20"/>
        </w:rPr>
        <w:t xml:space="preserve">, quasi 10 volte meno </w:t>
      </w:r>
      <w:r w:rsidRPr="007C3AC4">
        <w:rPr>
          <w:rFonts w:ascii="Verdana" w:hAnsi="Verdana"/>
          <w:sz w:val="20"/>
        </w:rPr>
        <w:t>dei 423€ per abitante registra</w:t>
      </w:r>
      <w:r>
        <w:rPr>
          <w:rFonts w:ascii="Verdana" w:hAnsi="Verdana"/>
          <w:sz w:val="20"/>
        </w:rPr>
        <w:t>to nel Comune di Orio al Serio, i</w:t>
      </w:r>
      <w:r w:rsidRPr="007C3AC4">
        <w:rPr>
          <w:rFonts w:ascii="Verdana" w:hAnsi="Verdana"/>
          <w:sz w:val="20"/>
        </w:rPr>
        <w:t>n provincia dell’Aquila</w:t>
      </w:r>
      <w:r>
        <w:rPr>
          <w:rFonts w:ascii="Verdana" w:hAnsi="Verdana"/>
          <w:sz w:val="20"/>
        </w:rPr>
        <w:t>,</w:t>
      </w:r>
      <w:r w:rsidRPr="007C3AC4">
        <w:rPr>
          <w:rFonts w:ascii="Verdana" w:hAnsi="Verdana"/>
          <w:sz w:val="20"/>
        </w:rPr>
        <w:t xml:space="preserve"> </w:t>
      </w:r>
      <w:r>
        <w:rPr>
          <w:rFonts w:ascii="Verdana" w:hAnsi="Verdana"/>
          <w:sz w:val="20"/>
        </w:rPr>
        <w:t>n</w:t>
      </w:r>
      <w:r w:rsidRPr="007C3AC4">
        <w:rPr>
          <w:rFonts w:ascii="Verdana" w:hAnsi="Verdana"/>
          <w:sz w:val="20"/>
        </w:rPr>
        <w:t>el Comune di Bisegna</w:t>
      </w:r>
      <w:r>
        <w:rPr>
          <w:rFonts w:ascii="Verdana" w:hAnsi="Verdana"/>
          <w:sz w:val="20"/>
        </w:rPr>
        <w:t xml:space="preserve"> l</w:t>
      </w:r>
      <w:r w:rsidRPr="007C3AC4">
        <w:rPr>
          <w:rFonts w:ascii="Verdana" w:hAnsi="Verdana"/>
          <w:sz w:val="20"/>
        </w:rPr>
        <w:t xml:space="preserve">a spesa </w:t>
      </w:r>
      <w:r>
        <w:rPr>
          <w:rFonts w:ascii="Verdana" w:hAnsi="Verdana"/>
          <w:sz w:val="20"/>
        </w:rPr>
        <w:t xml:space="preserve">è </w:t>
      </w:r>
      <w:r w:rsidRPr="007C3AC4">
        <w:rPr>
          <w:rFonts w:ascii="Verdana" w:hAnsi="Verdana"/>
          <w:sz w:val="20"/>
        </w:rPr>
        <w:t>di 161€ per abitante</w:t>
      </w:r>
      <w:r>
        <w:rPr>
          <w:rFonts w:ascii="Verdana" w:hAnsi="Verdana"/>
          <w:sz w:val="20"/>
        </w:rPr>
        <w:t xml:space="preserve">, mentre nel </w:t>
      </w:r>
      <w:r w:rsidRPr="007C3AC4">
        <w:rPr>
          <w:rFonts w:ascii="Verdana" w:hAnsi="Verdana"/>
          <w:sz w:val="20"/>
        </w:rPr>
        <w:t xml:space="preserve">Comune di Campotosto </w:t>
      </w:r>
      <w:r>
        <w:rPr>
          <w:rFonts w:ascii="Verdana" w:hAnsi="Verdana"/>
          <w:sz w:val="20"/>
        </w:rPr>
        <w:t>arriva a</w:t>
      </w:r>
      <w:r w:rsidRPr="007C3AC4">
        <w:rPr>
          <w:rFonts w:ascii="Verdana" w:hAnsi="Verdana"/>
          <w:sz w:val="20"/>
        </w:rPr>
        <w:t xml:space="preserve"> 258</w:t>
      </w:r>
      <w:r>
        <w:rPr>
          <w:rFonts w:ascii="Verdana" w:hAnsi="Verdana"/>
          <w:sz w:val="20"/>
        </w:rPr>
        <w:t>€ per abitante; i</w:t>
      </w:r>
      <w:r w:rsidRPr="007C3AC4">
        <w:rPr>
          <w:rFonts w:ascii="Verdana" w:hAnsi="Verdana"/>
          <w:sz w:val="20"/>
        </w:rPr>
        <w:t>n Puglia, nella provincia di Brindisi, a Mesagne la spesa per la gestione dei rifiuti è pari a 699€ per abitante</w:t>
      </w:r>
      <w:r>
        <w:rPr>
          <w:rFonts w:ascii="Verdana" w:hAnsi="Verdana"/>
          <w:sz w:val="20"/>
        </w:rPr>
        <w:t>,</w:t>
      </w:r>
      <w:r w:rsidRPr="007C3AC4">
        <w:rPr>
          <w:rFonts w:ascii="Verdana" w:hAnsi="Verdana"/>
          <w:sz w:val="20"/>
        </w:rPr>
        <w:t xml:space="preserve"> mentre a Brindisi la spesa è pari a 252€ per abitante.</w:t>
      </w:r>
    </w:p>
    <w:p w:rsidR="00B26840" w:rsidRPr="00AC03DF" w:rsidRDefault="00B26840" w:rsidP="00B26840">
      <w:pPr>
        <w:jc w:val="both"/>
        <w:rPr>
          <w:rFonts w:ascii="Verdana" w:hAnsi="Verdana"/>
          <w:sz w:val="20"/>
        </w:rPr>
      </w:pPr>
    </w:p>
    <w:p w:rsidR="00B26840" w:rsidRPr="00D413E1" w:rsidRDefault="00B26840" w:rsidP="00B26840">
      <w:pPr>
        <w:jc w:val="both"/>
        <w:rPr>
          <w:rFonts w:ascii="Verdana" w:hAnsi="Verdana"/>
          <w:i/>
          <w:sz w:val="20"/>
          <w:u w:val="single"/>
        </w:rPr>
      </w:pPr>
      <w:r w:rsidRPr="00D413E1">
        <w:rPr>
          <w:rFonts w:ascii="Verdana" w:hAnsi="Verdana"/>
          <w:i/>
          <w:sz w:val="20"/>
          <w:u w:val="single"/>
        </w:rPr>
        <w:t>Effetti sulle imprese</w:t>
      </w:r>
    </w:p>
    <w:p w:rsidR="00B26840" w:rsidRPr="007C3AC4" w:rsidRDefault="00B26840" w:rsidP="00B26840">
      <w:pPr>
        <w:jc w:val="both"/>
        <w:rPr>
          <w:rFonts w:ascii="Verdana" w:hAnsi="Verdana"/>
          <w:sz w:val="20"/>
        </w:rPr>
      </w:pPr>
      <w:r w:rsidRPr="007C3AC4">
        <w:rPr>
          <w:rFonts w:ascii="Verdana" w:hAnsi="Verdana"/>
          <w:sz w:val="20"/>
        </w:rPr>
        <w:t xml:space="preserve">Uno scostamento territoriale che si riflette anche nelle tariffe che ricadono sulle </w:t>
      </w:r>
      <w:r>
        <w:rPr>
          <w:rFonts w:ascii="Verdana" w:hAnsi="Verdana"/>
          <w:sz w:val="20"/>
        </w:rPr>
        <w:t>imprese del terziario</w:t>
      </w:r>
      <w:r w:rsidRPr="007C3AC4">
        <w:rPr>
          <w:rFonts w:ascii="Verdana" w:hAnsi="Verdana"/>
          <w:sz w:val="20"/>
        </w:rPr>
        <w:t>. Da elaborazioni d</w:t>
      </w:r>
      <w:r>
        <w:rPr>
          <w:rFonts w:ascii="Verdana" w:hAnsi="Verdana"/>
          <w:sz w:val="20"/>
        </w:rPr>
        <w:t>e</w:t>
      </w:r>
      <w:r w:rsidRPr="007C3AC4">
        <w:rPr>
          <w:rFonts w:ascii="Verdana" w:hAnsi="Verdana"/>
          <w:sz w:val="20"/>
        </w:rPr>
        <w:t xml:space="preserve">l portale Confcommercio </w:t>
      </w:r>
      <w:hyperlink r:id="rId11" w:history="1">
        <w:r w:rsidRPr="00F244C0">
          <w:rPr>
            <w:rStyle w:val="Collegamentoipertestuale"/>
            <w:rFonts w:ascii="Verdana" w:hAnsi="Verdana"/>
            <w:color w:val="4F81BD"/>
            <w:sz w:val="20"/>
          </w:rPr>
          <w:t>www.osservatoriotasselocali.it</w:t>
        </w:r>
      </w:hyperlink>
      <w:r w:rsidRPr="007C3AC4">
        <w:rPr>
          <w:rFonts w:ascii="Verdana" w:hAnsi="Verdana"/>
          <w:sz w:val="20"/>
        </w:rPr>
        <w:t>, risulta</w:t>
      </w:r>
      <w:r>
        <w:rPr>
          <w:rFonts w:ascii="Verdana" w:hAnsi="Verdana"/>
          <w:sz w:val="20"/>
        </w:rPr>
        <w:t xml:space="preserve"> </w:t>
      </w:r>
      <w:r w:rsidRPr="007C3AC4">
        <w:rPr>
          <w:rFonts w:ascii="Verdana" w:hAnsi="Verdana"/>
          <w:sz w:val="20"/>
        </w:rPr>
        <w:t xml:space="preserve">che la situazione </w:t>
      </w:r>
      <w:r>
        <w:rPr>
          <w:rFonts w:ascii="Verdana" w:hAnsi="Verdana"/>
          <w:sz w:val="20"/>
        </w:rPr>
        <w:t>è</w:t>
      </w:r>
      <w:r w:rsidRPr="007C3AC4">
        <w:rPr>
          <w:rFonts w:ascii="Verdana" w:hAnsi="Verdana"/>
          <w:sz w:val="20"/>
        </w:rPr>
        <w:t xml:space="preserve"> ancor più critica e paradossale se si considera che tale disomogeneità si registra all’interno di Comuni appartenenti non solo alla stessa Regione ma alla stessa provincia e che, pertanto, hanno parametri riferibili a popolazione, tessuto imprenditoriale, densità abitativa e condizioni territoriali quantomeno similari. </w:t>
      </w:r>
    </w:p>
    <w:p w:rsidR="00B26840" w:rsidRDefault="00B26840" w:rsidP="00B26840">
      <w:pPr>
        <w:jc w:val="both"/>
        <w:rPr>
          <w:rFonts w:ascii="Verdana" w:hAnsi="Verdana"/>
          <w:sz w:val="20"/>
        </w:rPr>
      </w:pPr>
      <w:r>
        <w:rPr>
          <w:rFonts w:ascii="Verdana" w:hAnsi="Verdana"/>
          <w:sz w:val="20"/>
        </w:rPr>
        <w:t>Alcuni esempi:</w:t>
      </w:r>
    </w:p>
    <w:p w:rsidR="00B26840" w:rsidRDefault="00B26840" w:rsidP="00B26840">
      <w:pPr>
        <w:pStyle w:val="Paragrafoelenco"/>
        <w:numPr>
          <w:ilvl w:val="0"/>
          <w:numId w:val="2"/>
        </w:numPr>
        <w:spacing w:after="0" w:line="240" w:lineRule="auto"/>
        <w:ind w:firstLine="0"/>
        <w:rPr>
          <w:rFonts w:ascii="Verdana" w:hAnsi="Verdana"/>
          <w:sz w:val="20"/>
          <w:szCs w:val="20"/>
        </w:rPr>
      </w:pPr>
      <w:r w:rsidRPr="003C636C">
        <w:rPr>
          <w:rFonts w:ascii="Verdana" w:hAnsi="Verdana"/>
          <w:sz w:val="20"/>
          <w:szCs w:val="20"/>
        </w:rPr>
        <w:t xml:space="preserve">un </w:t>
      </w:r>
      <w:r w:rsidRPr="003C636C">
        <w:rPr>
          <w:rFonts w:ascii="Verdana" w:hAnsi="Verdana"/>
          <w:b/>
          <w:sz w:val="20"/>
          <w:szCs w:val="20"/>
        </w:rPr>
        <w:t>supermercato</w:t>
      </w:r>
      <w:r w:rsidRPr="003C636C">
        <w:rPr>
          <w:rFonts w:ascii="Verdana" w:hAnsi="Verdana"/>
          <w:sz w:val="20"/>
          <w:szCs w:val="20"/>
        </w:rPr>
        <w:t xml:space="preserve"> di 200 mq a Brindisi paga 3.284 euro/anno mentre a Ostuni 2.648 euro/anno;</w:t>
      </w:r>
      <w:r>
        <w:rPr>
          <w:rFonts w:ascii="Verdana" w:hAnsi="Verdana"/>
          <w:sz w:val="20"/>
          <w:szCs w:val="20"/>
        </w:rPr>
        <w:t xml:space="preserve"> i</w:t>
      </w:r>
      <w:r w:rsidRPr="003C636C">
        <w:rPr>
          <w:rFonts w:ascii="Verdana" w:hAnsi="Verdana"/>
          <w:sz w:val="20"/>
          <w:szCs w:val="20"/>
        </w:rPr>
        <w:t>n provincia di Asti si vai dai 930 euro/anno di San Damiano ai 2.528 euro/anno del capoluogo</w:t>
      </w:r>
      <w:r>
        <w:rPr>
          <w:rFonts w:ascii="Verdana" w:hAnsi="Verdana"/>
          <w:sz w:val="20"/>
          <w:szCs w:val="20"/>
        </w:rPr>
        <w:t>;</w:t>
      </w:r>
      <w:r w:rsidRPr="003C636C">
        <w:rPr>
          <w:rFonts w:ascii="Verdana" w:hAnsi="Verdana"/>
          <w:sz w:val="20"/>
          <w:szCs w:val="20"/>
        </w:rPr>
        <w:t xml:space="preserve"> </w:t>
      </w:r>
    </w:p>
    <w:p w:rsidR="00B26840" w:rsidRDefault="00B26840" w:rsidP="00B26840">
      <w:pPr>
        <w:pStyle w:val="Paragrafoelenco"/>
        <w:numPr>
          <w:ilvl w:val="0"/>
          <w:numId w:val="2"/>
        </w:numPr>
        <w:spacing w:after="0" w:line="240" w:lineRule="auto"/>
        <w:ind w:firstLine="0"/>
        <w:rPr>
          <w:rFonts w:ascii="Verdana" w:hAnsi="Verdana"/>
          <w:sz w:val="20"/>
          <w:szCs w:val="20"/>
        </w:rPr>
      </w:pPr>
      <w:r>
        <w:rPr>
          <w:rFonts w:ascii="Verdana" w:hAnsi="Verdana"/>
          <w:sz w:val="20"/>
          <w:szCs w:val="20"/>
        </w:rPr>
        <w:t>p</w:t>
      </w:r>
      <w:r w:rsidRPr="003C636C">
        <w:rPr>
          <w:rFonts w:ascii="Verdana" w:hAnsi="Verdana"/>
          <w:sz w:val="20"/>
          <w:szCs w:val="20"/>
        </w:rPr>
        <w:t xml:space="preserve">er un </w:t>
      </w:r>
      <w:r w:rsidRPr="003C636C">
        <w:rPr>
          <w:rFonts w:ascii="Verdana" w:hAnsi="Verdana"/>
          <w:b/>
          <w:sz w:val="20"/>
          <w:szCs w:val="20"/>
        </w:rPr>
        <w:t>albergo</w:t>
      </w:r>
      <w:r w:rsidRPr="003C636C">
        <w:rPr>
          <w:rFonts w:ascii="Verdana" w:hAnsi="Verdana"/>
          <w:sz w:val="20"/>
          <w:szCs w:val="20"/>
        </w:rPr>
        <w:t xml:space="preserve"> con ristorante di 1.000 mq, ad esempio, si passa dai 7.770 euro/anno a Lecce, ai 4.210 euro/anno di San Cesario</w:t>
      </w:r>
      <w:r>
        <w:rPr>
          <w:rFonts w:ascii="Verdana" w:hAnsi="Verdana"/>
          <w:sz w:val="20"/>
          <w:szCs w:val="20"/>
        </w:rPr>
        <w:t xml:space="preserve"> (Le);</w:t>
      </w:r>
      <w:r w:rsidRPr="003C636C">
        <w:rPr>
          <w:rFonts w:ascii="Verdana" w:hAnsi="Verdana"/>
          <w:sz w:val="20"/>
          <w:szCs w:val="20"/>
        </w:rPr>
        <w:t xml:space="preserve"> </w:t>
      </w:r>
      <w:r>
        <w:rPr>
          <w:rFonts w:ascii="Verdana" w:hAnsi="Verdana"/>
          <w:sz w:val="20"/>
          <w:szCs w:val="20"/>
        </w:rPr>
        <w:t>m</w:t>
      </w:r>
      <w:r w:rsidRPr="003C636C">
        <w:rPr>
          <w:rFonts w:ascii="Verdana" w:hAnsi="Verdana"/>
          <w:sz w:val="20"/>
          <w:szCs w:val="20"/>
        </w:rPr>
        <w:t xml:space="preserve">entre per la stessa attività in provincia di Padova si passa dai 5.901 euro/anno del capoluogo ai 4.189 euro/anno </w:t>
      </w:r>
      <w:r>
        <w:rPr>
          <w:rFonts w:ascii="Verdana" w:hAnsi="Verdana"/>
          <w:sz w:val="20"/>
          <w:szCs w:val="20"/>
        </w:rPr>
        <w:t>di Abano Terme;</w:t>
      </w:r>
    </w:p>
    <w:p w:rsidR="00B26840" w:rsidRDefault="00B26840" w:rsidP="00B26840">
      <w:pPr>
        <w:pStyle w:val="Paragrafoelenco"/>
        <w:numPr>
          <w:ilvl w:val="0"/>
          <w:numId w:val="2"/>
        </w:numPr>
        <w:spacing w:after="0" w:line="240" w:lineRule="auto"/>
        <w:ind w:firstLine="0"/>
        <w:rPr>
          <w:rFonts w:ascii="Verdana" w:hAnsi="Verdana"/>
          <w:sz w:val="20"/>
          <w:szCs w:val="20"/>
        </w:rPr>
      </w:pPr>
      <w:r>
        <w:rPr>
          <w:rFonts w:ascii="Verdana" w:hAnsi="Verdana"/>
          <w:sz w:val="20"/>
          <w:szCs w:val="20"/>
        </w:rPr>
        <w:t>i</w:t>
      </w:r>
      <w:r w:rsidRPr="003C636C">
        <w:rPr>
          <w:rFonts w:ascii="Verdana" w:hAnsi="Verdana"/>
          <w:sz w:val="20"/>
          <w:szCs w:val="20"/>
        </w:rPr>
        <w:t xml:space="preserve">n provincia di Bari, un </w:t>
      </w:r>
      <w:r w:rsidRPr="003C636C">
        <w:rPr>
          <w:rFonts w:ascii="Verdana" w:hAnsi="Verdana"/>
          <w:b/>
          <w:sz w:val="20"/>
          <w:szCs w:val="20"/>
        </w:rPr>
        <w:t>ristorante</w:t>
      </w:r>
      <w:r w:rsidRPr="003C636C">
        <w:rPr>
          <w:rFonts w:ascii="Verdana" w:hAnsi="Verdana"/>
          <w:sz w:val="20"/>
          <w:szCs w:val="20"/>
        </w:rPr>
        <w:t xml:space="preserve"> di 500 mq passa dai 16.401 euro/anno di Mola di Bari ai 10.200 euro/anno di Alberobello; mentre in provincia di Cuneo va dai 7.334 euro/anno di Alba agli 8.116 euro/anno di Mondovì</w:t>
      </w:r>
      <w:r>
        <w:rPr>
          <w:rFonts w:ascii="Verdana" w:hAnsi="Verdana"/>
          <w:sz w:val="20"/>
          <w:szCs w:val="20"/>
        </w:rPr>
        <w:t>;</w:t>
      </w:r>
      <w:r w:rsidRPr="003C636C">
        <w:rPr>
          <w:rFonts w:ascii="Verdana" w:hAnsi="Verdana"/>
          <w:sz w:val="20"/>
          <w:szCs w:val="20"/>
        </w:rPr>
        <w:t xml:space="preserve"> </w:t>
      </w:r>
    </w:p>
    <w:p w:rsidR="00B26840" w:rsidRPr="003C636C" w:rsidRDefault="00B26840" w:rsidP="00B26840">
      <w:pPr>
        <w:pStyle w:val="Paragrafoelenco"/>
        <w:numPr>
          <w:ilvl w:val="0"/>
          <w:numId w:val="2"/>
        </w:numPr>
        <w:spacing w:after="0" w:line="240" w:lineRule="auto"/>
        <w:ind w:firstLine="0"/>
        <w:rPr>
          <w:rFonts w:ascii="Verdana" w:hAnsi="Verdana"/>
          <w:sz w:val="20"/>
          <w:szCs w:val="20"/>
        </w:rPr>
      </w:pPr>
      <w:r>
        <w:rPr>
          <w:rFonts w:ascii="Verdana" w:hAnsi="Verdana"/>
          <w:sz w:val="20"/>
          <w:szCs w:val="20"/>
        </w:rPr>
        <w:t>p</w:t>
      </w:r>
      <w:r w:rsidRPr="003C636C">
        <w:rPr>
          <w:rFonts w:ascii="Verdana" w:hAnsi="Verdana"/>
          <w:sz w:val="20"/>
          <w:szCs w:val="20"/>
        </w:rPr>
        <w:t xml:space="preserve">er un’attività di </w:t>
      </w:r>
      <w:r w:rsidRPr="003C636C">
        <w:rPr>
          <w:rFonts w:ascii="Verdana" w:hAnsi="Verdana"/>
          <w:b/>
          <w:sz w:val="20"/>
          <w:szCs w:val="20"/>
        </w:rPr>
        <w:t>ortofrutta</w:t>
      </w:r>
      <w:r w:rsidRPr="003C636C">
        <w:rPr>
          <w:rFonts w:ascii="Verdana" w:hAnsi="Verdana"/>
          <w:sz w:val="20"/>
          <w:szCs w:val="20"/>
        </w:rPr>
        <w:t xml:space="preserve"> di 100 mq, nella provincia di Torino si passa dai 3.870 euro/anno di Chivasso ai 2.196 di Volpiano; mentre nella provincia di Firenze di passa dai 2.201 euro/anno di Vicchio ai 3.179 di Certaldo.</w:t>
      </w:r>
    </w:p>
    <w:p w:rsidR="00B26840" w:rsidRPr="00AC03DF" w:rsidRDefault="00B26840" w:rsidP="00B26840">
      <w:pPr>
        <w:jc w:val="both"/>
        <w:rPr>
          <w:rFonts w:ascii="Verdana" w:hAnsi="Verdana"/>
          <w:sz w:val="20"/>
        </w:rPr>
      </w:pPr>
    </w:p>
    <w:p w:rsidR="00B26840" w:rsidRPr="00D413E1" w:rsidRDefault="00B26840" w:rsidP="00B26840">
      <w:pPr>
        <w:jc w:val="both"/>
        <w:rPr>
          <w:rFonts w:ascii="Verdana" w:hAnsi="Verdana"/>
          <w:i/>
          <w:sz w:val="20"/>
          <w:u w:val="single"/>
        </w:rPr>
      </w:pPr>
      <w:r w:rsidRPr="00D413E1">
        <w:rPr>
          <w:rFonts w:ascii="Verdana" w:hAnsi="Verdana"/>
          <w:i/>
          <w:sz w:val="20"/>
          <w:u w:val="single"/>
        </w:rPr>
        <w:t>Aliquote complessive aggregate per regione</w:t>
      </w:r>
      <w:r>
        <w:rPr>
          <w:rFonts w:ascii="Verdana" w:hAnsi="Verdana"/>
          <w:i/>
          <w:sz w:val="20"/>
          <w:u w:val="single"/>
        </w:rPr>
        <w:t xml:space="preserve"> </w:t>
      </w:r>
    </w:p>
    <w:p w:rsidR="00B26840" w:rsidRPr="003C636C" w:rsidRDefault="00B26840" w:rsidP="00B26840">
      <w:pPr>
        <w:jc w:val="both"/>
        <w:rPr>
          <w:rFonts w:ascii="Verdana" w:hAnsi="Verdana"/>
          <w:sz w:val="20"/>
        </w:rPr>
      </w:pPr>
      <w:r w:rsidRPr="003C636C">
        <w:rPr>
          <w:rFonts w:ascii="Verdana" w:hAnsi="Verdana"/>
          <w:sz w:val="20"/>
        </w:rPr>
        <w:t xml:space="preserve">I dati </w:t>
      </w:r>
      <w:r>
        <w:rPr>
          <w:rFonts w:ascii="Verdana" w:hAnsi="Verdana"/>
          <w:sz w:val="20"/>
        </w:rPr>
        <w:t xml:space="preserve">2016 </w:t>
      </w:r>
      <w:r w:rsidRPr="003C636C">
        <w:rPr>
          <w:rFonts w:ascii="Verdana" w:hAnsi="Verdana"/>
          <w:sz w:val="20"/>
        </w:rPr>
        <w:t xml:space="preserve">delle aliquote complessive </w:t>
      </w:r>
      <w:r>
        <w:rPr>
          <w:rFonts w:ascii="Verdana" w:hAnsi="Verdana"/>
          <w:sz w:val="20"/>
        </w:rPr>
        <w:t xml:space="preserve">per lo smaltimento rifiuti </w:t>
      </w:r>
      <w:r w:rsidRPr="003C636C">
        <w:rPr>
          <w:rFonts w:ascii="Verdana" w:hAnsi="Verdana"/>
          <w:sz w:val="20"/>
        </w:rPr>
        <w:t>(euro a metro quadro) aggregate per regione e attribuite al</w:t>
      </w:r>
      <w:r>
        <w:rPr>
          <w:rFonts w:ascii="Verdana" w:hAnsi="Verdana"/>
          <w:sz w:val="20"/>
        </w:rPr>
        <w:t>le diverse categorie economiche evidenziano c</w:t>
      </w:r>
      <w:r w:rsidRPr="003C636C">
        <w:rPr>
          <w:rFonts w:ascii="Verdana" w:hAnsi="Verdana"/>
          <w:sz w:val="20"/>
        </w:rPr>
        <w:t>ome gli scostamenti più eclatanti rispetto alla media nazionale siano sempre quelli in negativo</w:t>
      </w:r>
      <w:r>
        <w:rPr>
          <w:rFonts w:ascii="Verdana" w:hAnsi="Verdana"/>
          <w:sz w:val="20"/>
        </w:rPr>
        <w:t xml:space="preserve"> (vedi esempi di seguito)</w:t>
      </w:r>
      <w:r w:rsidRPr="003C636C">
        <w:rPr>
          <w:rFonts w:ascii="Verdana" w:hAnsi="Verdana"/>
          <w:sz w:val="20"/>
        </w:rPr>
        <w:t>, con picchi importanti per alcune categorie e alcune regioni.</w:t>
      </w:r>
    </w:p>
    <w:p w:rsidR="00B26840" w:rsidRPr="00364A0E" w:rsidRDefault="00B26840" w:rsidP="00B26840">
      <w:pPr>
        <w:jc w:val="both"/>
        <w:rPr>
          <w:rFonts w:ascii="Verdana" w:hAnsi="Verdana"/>
          <w:sz w:val="18"/>
          <w:szCs w:val="18"/>
          <w:lang w:eastAsia="en-US"/>
        </w:rPr>
      </w:pPr>
      <w:r>
        <w:rPr>
          <w:rFonts w:ascii="Verdana" w:hAnsi="Verdana"/>
          <w:noProof/>
          <w:sz w:val="20"/>
        </w:rPr>
        <w:br w:type="page"/>
      </w:r>
      <w:r w:rsidRPr="00BB565F">
        <w:rPr>
          <w:rFonts w:ascii="Verdana" w:hAnsi="Verdana"/>
          <w:b/>
          <w:sz w:val="18"/>
          <w:szCs w:val="18"/>
          <w:lang w:eastAsia="en-US"/>
        </w:rPr>
        <w:t>RISTORANTI, PIZZERIE E PUB</w:t>
      </w:r>
      <w:r w:rsidRPr="00364A0E">
        <w:rPr>
          <w:rFonts w:ascii="Verdana" w:hAnsi="Verdana"/>
          <w:sz w:val="18"/>
          <w:szCs w:val="18"/>
          <w:lang w:eastAsia="en-US"/>
        </w:rPr>
        <w:t xml:space="preserve"> (aliquote medie €/mq per smaltimento rifiuti)</w:t>
      </w:r>
    </w:p>
    <w:p w:rsidR="00B26840" w:rsidRPr="00934F7B" w:rsidRDefault="00B26840" w:rsidP="00B26840">
      <w:pPr>
        <w:rPr>
          <w:rFonts w:ascii="Verdana" w:hAnsi="Verdana"/>
          <w:color w:val="FF0000"/>
          <w:sz w:val="20"/>
        </w:rPr>
      </w:pPr>
      <w:r>
        <w:rPr>
          <w:noProof/>
        </w:rPr>
        <w:drawing>
          <wp:inline distT="0" distB="0" distL="0" distR="0">
            <wp:extent cx="4343400" cy="2743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2743200"/>
                    </a:xfrm>
                    <a:prstGeom prst="rect">
                      <a:avLst/>
                    </a:prstGeom>
                    <a:noFill/>
                    <a:ln>
                      <a:noFill/>
                    </a:ln>
                  </pic:spPr>
                </pic:pic>
              </a:graphicData>
            </a:graphic>
          </wp:inline>
        </w:drawing>
      </w:r>
    </w:p>
    <w:p w:rsidR="00B26840" w:rsidRPr="003227C6" w:rsidRDefault="00B26840" w:rsidP="00B26840">
      <w:pPr>
        <w:rPr>
          <w:rFonts w:ascii="Verdana" w:hAnsi="Verdana"/>
          <w:i/>
          <w:sz w:val="18"/>
          <w:szCs w:val="18"/>
        </w:rPr>
      </w:pPr>
      <w:r w:rsidRPr="003227C6">
        <w:rPr>
          <w:rFonts w:ascii="Verdana" w:hAnsi="Verdana"/>
          <w:i/>
          <w:sz w:val="18"/>
          <w:szCs w:val="18"/>
        </w:rPr>
        <w:t>Fonte: Osservatorio tasse locali Confcommercio</w:t>
      </w:r>
    </w:p>
    <w:p w:rsidR="00B26840" w:rsidRPr="00AF1544" w:rsidRDefault="00B26840" w:rsidP="00B26840">
      <w:pPr>
        <w:rPr>
          <w:rFonts w:ascii="Verdana" w:hAnsi="Verdana"/>
          <w:sz w:val="16"/>
          <w:szCs w:val="16"/>
        </w:rPr>
      </w:pPr>
    </w:p>
    <w:p w:rsidR="00B26840" w:rsidRPr="00364A0E" w:rsidRDefault="00B26840" w:rsidP="00B26840">
      <w:pPr>
        <w:rPr>
          <w:rFonts w:ascii="Verdana" w:hAnsi="Verdana"/>
          <w:sz w:val="18"/>
          <w:szCs w:val="18"/>
          <w:lang w:eastAsia="en-US"/>
        </w:rPr>
      </w:pPr>
      <w:r w:rsidRPr="00BB565F">
        <w:rPr>
          <w:rFonts w:ascii="Verdana" w:hAnsi="Verdana"/>
          <w:b/>
          <w:sz w:val="18"/>
          <w:szCs w:val="18"/>
          <w:lang w:eastAsia="en-US"/>
        </w:rPr>
        <w:t>SUPERMERCAT</w:t>
      </w:r>
      <w:r>
        <w:rPr>
          <w:rFonts w:ascii="Verdana" w:hAnsi="Verdana"/>
          <w:b/>
          <w:sz w:val="18"/>
          <w:szCs w:val="18"/>
          <w:lang w:eastAsia="en-US"/>
        </w:rPr>
        <w:t>I</w:t>
      </w:r>
      <w:r w:rsidRPr="00BB565F">
        <w:rPr>
          <w:rFonts w:ascii="Verdana" w:hAnsi="Verdana"/>
          <w:b/>
          <w:sz w:val="18"/>
          <w:szCs w:val="18"/>
          <w:lang w:eastAsia="en-US"/>
        </w:rPr>
        <w:t>, MACELLERI</w:t>
      </w:r>
      <w:r>
        <w:rPr>
          <w:rFonts w:ascii="Verdana" w:hAnsi="Verdana"/>
          <w:b/>
          <w:sz w:val="18"/>
          <w:szCs w:val="18"/>
          <w:lang w:eastAsia="en-US"/>
        </w:rPr>
        <w:t>E</w:t>
      </w:r>
      <w:r w:rsidRPr="00BB565F">
        <w:rPr>
          <w:rFonts w:ascii="Verdana" w:hAnsi="Verdana"/>
          <w:b/>
          <w:sz w:val="18"/>
          <w:szCs w:val="18"/>
          <w:lang w:eastAsia="en-US"/>
        </w:rPr>
        <w:t>, ROSTICCERI</w:t>
      </w:r>
      <w:r>
        <w:rPr>
          <w:rFonts w:ascii="Verdana" w:hAnsi="Verdana"/>
          <w:b/>
          <w:sz w:val="18"/>
          <w:szCs w:val="18"/>
          <w:lang w:eastAsia="en-US"/>
        </w:rPr>
        <w:t>E</w:t>
      </w:r>
      <w:r w:rsidRPr="00BB565F">
        <w:rPr>
          <w:rFonts w:ascii="Verdana" w:hAnsi="Verdana"/>
          <w:b/>
          <w:sz w:val="18"/>
          <w:szCs w:val="18"/>
          <w:lang w:eastAsia="en-US"/>
        </w:rPr>
        <w:t>, PANIFICI</w:t>
      </w:r>
      <w:r w:rsidRPr="00364A0E">
        <w:rPr>
          <w:rFonts w:ascii="Verdana" w:hAnsi="Verdana"/>
          <w:sz w:val="18"/>
          <w:szCs w:val="18"/>
          <w:lang w:eastAsia="en-US"/>
        </w:rPr>
        <w:t xml:space="preserve"> (aliquote medie €/mq per smaltimento rifiuti)</w:t>
      </w:r>
    </w:p>
    <w:p w:rsidR="00B26840" w:rsidRPr="00934F7B" w:rsidRDefault="00B26840" w:rsidP="00B26840">
      <w:pPr>
        <w:rPr>
          <w:noProof/>
          <w:color w:val="FF0000"/>
        </w:rPr>
      </w:pPr>
      <w:r>
        <w:rPr>
          <w:noProof/>
        </w:rPr>
        <w:drawing>
          <wp:inline distT="0" distB="0" distL="0" distR="0">
            <wp:extent cx="4343400" cy="2952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2952750"/>
                    </a:xfrm>
                    <a:prstGeom prst="rect">
                      <a:avLst/>
                    </a:prstGeom>
                    <a:noFill/>
                    <a:ln>
                      <a:noFill/>
                    </a:ln>
                  </pic:spPr>
                </pic:pic>
              </a:graphicData>
            </a:graphic>
          </wp:inline>
        </w:drawing>
      </w:r>
    </w:p>
    <w:p w:rsidR="00B26840" w:rsidRDefault="00B26840" w:rsidP="00B26840">
      <w:pPr>
        <w:rPr>
          <w:rFonts w:ascii="Verdana" w:hAnsi="Verdana"/>
          <w:i/>
          <w:sz w:val="18"/>
          <w:szCs w:val="18"/>
        </w:rPr>
      </w:pPr>
      <w:r w:rsidRPr="003227C6">
        <w:rPr>
          <w:rFonts w:ascii="Verdana" w:hAnsi="Verdana"/>
          <w:i/>
          <w:sz w:val="18"/>
          <w:szCs w:val="18"/>
        </w:rPr>
        <w:t>Fonte: Osservatorio tasse locali Confcommercio</w:t>
      </w:r>
    </w:p>
    <w:p w:rsidR="00B26840" w:rsidRPr="00AF1544" w:rsidRDefault="00B26840" w:rsidP="00B26840">
      <w:pPr>
        <w:rPr>
          <w:rFonts w:ascii="Verdana" w:hAnsi="Verdana"/>
          <w:sz w:val="16"/>
          <w:szCs w:val="16"/>
        </w:rPr>
      </w:pPr>
    </w:p>
    <w:p w:rsidR="00B26840" w:rsidRPr="00BB565F" w:rsidRDefault="00B26840" w:rsidP="00B26840">
      <w:pPr>
        <w:rPr>
          <w:rFonts w:ascii="Verdana" w:hAnsi="Verdana"/>
          <w:b/>
          <w:sz w:val="18"/>
          <w:szCs w:val="18"/>
          <w:lang w:eastAsia="en-US"/>
        </w:rPr>
      </w:pPr>
      <w:r>
        <w:rPr>
          <w:rFonts w:ascii="Verdana" w:hAnsi="Verdana"/>
          <w:b/>
          <w:sz w:val="18"/>
          <w:szCs w:val="18"/>
          <w:lang w:eastAsia="en-US"/>
        </w:rPr>
        <w:t xml:space="preserve">ORTOFRUTTA, PESCHERIE, PIANTE E FIORI </w:t>
      </w:r>
      <w:r w:rsidRPr="00364A0E">
        <w:rPr>
          <w:rFonts w:ascii="Verdana" w:hAnsi="Verdana"/>
          <w:sz w:val="18"/>
          <w:szCs w:val="18"/>
          <w:lang w:eastAsia="en-US"/>
        </w:rPr>
        <w:t>(aliquote medie €/mq per smaltimento rifiuti)</w:t>
      </w:r>
    </w:p>
    <w:p w:rsidR="00B26840" w:rsidRPr="00AF1544" w:rsidRDefault="00B26840" w:rsidP="00B26840">
      <w:pPr>
        <w:rPr>
          <w:rFonts w:ascii="Verdana" w:hAnsi="Verdana"/>
          <w:noProof/>
          <w:sz w:val="16"/>
          <w:szCs w:val="16"/>
        </w:rPr>
      </w:pPr>
      <w:r>
        <w:rPr>
          <w:noProof/>
        </w:rPr>
        <w:drawing>
          <wp:inline distT="0" distB="0" distL="0" distR="0">
            <wp:extent cx="4457700" cy="2762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762250"/>
                    </a:xfrm>
                    <a:prstGeom prst="rect">
                      <a:avLst/>
                    </a:prstGeom>
                    <a:noFill/>
                    <a:ln>
                      <a:noFill/>
                    </a:ln>
                  </pic:spPr>
                </pic:pic>
              </a:graphicData>
            </a:graphic>
          </wp:inline>
        </w:drawing>
      </w:r>
    </w:p>
    <w:p w:rsidR="00B26840" w:rsidRPr="003227C6" w:rsidRDefault="00B26840" w:rsidP="00B26840">
      <w:pPr>
        <w:rPr>
          <w:rFonts w:ascii="Verdana" w:hAnsi="Verdana"/>
          <w:i/>
          <w:sz w:val="18"/>
          <w:szCs w:val="18"/>
        </w:rPr>
      </w:pPr>
      <w:r w:rsidRPr="003227C6">
        <w:rPr>
          <w:rFonts w:ascii="Verdana" w:hAnsi="Verdana"/>
          <w:i/>
          <w:sz w:val="18"/>
          <w:szCs w:val="18"/>
        </w:rPr>
        <w:t>Fonte: Osservatorio tasse locali Confcommercio</w:t>
      </w:r>
    </w:p>
    <w:p w:rsidR="006035F1" w:rsidRDefault="00195BF9">
      <w:bookmarkStart w:id="0" w:name="_GoBack"/>
      <w:bookmarkEnd w:id="0"/>
    </w:p>
    <w:sectPr w:rsidR="006035F1" w:rsidSect="00AF1544">
      <w:footerReference w:type="even" r:id="rId15"/>
      <w:footerReference w:type="default" r:id="rId16"/>
      <w:pgSz w:w="11906" w:h="16838"/>
      <w:pgMar w:top="680" w:right="794" w:bottom="454" w:left="794"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panose1 w:val="020B050303040404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59" w:rsidRDefault="00195B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E0559" w:rsidRDefault="00195BF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59" w:rsidRDefault="00195BF9">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Pr>
        <w:rStyle w:val="Numeropagina"/>
        <w:noProof/>
        <w:sz w:val="18"/>
      </w:rPr>
      <w:t>4</w:t>
    </w:r>
    <w:r>
      <w:rPr>
        <w:rStyle w:val="Numeropagina"/>
        <w:sz w:val="18"/>
      </w:rPr>
      <w:fldChar w:fldCharType="end"/>
    </w:r>
  </w:p>
  <w:p w:rsidR="00EE0559" w:rsidRDefault="00195BF9" w:rsidP="00AF1544">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0D46"/>
    <w:multiLevelType w:val="hybridMultilevel"/>
    <w:tmpl w:val="7BD64A50"/>
    <w:lvl w:ilvl="0" w:tplc="6CE03890">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D70B2F"/>
    <w:multiLevelType w:val="hybridMultilevel"/>
    <w:tmpl w:val="987EA2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40"/>
    <w:rsid w:val="00195BF9"/>
    <w:rsid w:val="00B26840"/>
    <w:rsid w:val="00CB2EBD"/>
    <w:rsid w:val="00E54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840"/>
    <w:pPr>
      <w:spacing w:after="0" w:line="240" w:lineRule="auto"/>
    </w:pPr>
    <w:rPr>
      <w:rFonts w:ascii="Geneva" w:eastAsia="Times" w:hAnsi="Geneva"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B26840"/>
    <w:pPr>
      <w:tabs>
        <w:tab w:val="center" w:pos="4153"/>
        <w:tab w:val="right" w:pos="8306"/>
      </w:tabs>
    </w:pPr>
  </w:style>
  <w:style w:type="character" w:customStyle="1" w:styleId="PidipaginaCarattere">
    <w:name w:val="Piè di pagina Carattere"/>
    <w:basedOn w:val="Carpredefinitoparagrafo"/>
    <w:link w:val="Pidipagina"/>
    <w:semiHidden/>
    <w:rsid w:val="00B26840"/>
    <w:rPr>
      <w:rFonts w:ascii="Geneva" w:eastAsia="Times" w:hAnsi="Geneva" w:cs="Times New Roman"/>
      <w:sz w:val="28"/>
      <w:szCs w:val="20"/>
      <w:lang w:eastAsia="it-IT"/>
    </w:rPr>
  </w:style>
  <w:style w:type="character" w:styleId="Collegamentoipertestuale">
    <w:name w:val="Hyperlink"/>
    <w:semiHidden/>
    <w:rsid w:val="00B26840"/>
    <w:rPr>
      <w:color w:val="0000FF"/>
      <w:u w:val="single"/>
    </w:rPr>
  </w:style>
  <w:style w:type="character" w:styleId="Numeropagina">
    <w:name w:val="page number"/>
    <w:basedOn w:val="Carpredefinitoparagrafo"/>
    <w:semiHidden/>
    <w:rsid w:val="00B26840"/>
  </w:style>
  <w:style w:type="paragraph" w:styleId="Paragrafoelenco">
    <w:name w:val="List Paragraph"/>
    <w:basedOn w:val="Normale"/>
    <w:uiPriority w:val="34"/>
    <w:qFormat/>
    <w:rsid w:val="00B26840"/>
    <w:pPr>
      <w:spacing w:after="200" w:line="276" w:lineRule="auto"/>
      <w:ind w:left="720" w:firstLine="142"/>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B2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840"/>
    <w:rPr>
      <w:rFonts w:ascii="Tahoma" w:eastAsia="Times"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840"/>
    <w:pPr>
      <w:spacing w:after="0" w:line="240" w:lineRule="auto"/>
    </w:pPr>
    <w:rPr>
      <w:rFonts w:ascii="Geneva" w:eastAsia="Times" w:hAnsi="Geneva"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B26840"/>
    <w:pPr>
      <w:tabs>
        <w:tab w:val="center" w:pos="4153"/>
        <w:tab w:val="right" w:pos="8306"/>
      </w:tabs>
    </w:pPr>
  </w:style>
  <w:style w:type="character" w:customStyle="1" w:styleId="PidipaginaCarattere">
    <w:name w:val="Piè di pagina Carattere"/>
    <w:basedOn w:val="Carpredefinitoparagrafo"/>
    <w:link w:val="Pidipagina"/>
    <w:semiHidden/>
    <w:rsid w:val="00B26840"/>
    <w:rPr>
      <w:rFonts w:ascii="Geneva" w:eastAsia="Times" w:hAnsi="Geneva" w:cs="Times New Roman"/>
      <w:sz w:val="28"/>
      <w:szCs w:val="20"/>
      <w:lang w:eastAsia="it-IT"/>
    </w:rPr>
  </w:style>
  <w:style w:type="character" w:styleId="Collegamentoipertestuale">
    <w:name w:val="Hyperlink"/>
    <w:semiHidden/>
    <w:rsid w:val="00B26840"/>
    <w:rPr>
      <w:color w:val="0000FF"/>
      <w:u w:val="single"/>
    </w:rPr>
  </w:style>
  <w:style w:type="character" w:styleId="Numeropagina">
    <w:name w:val="page number"/>
    <w:basedOn w:val="Carpredefinitoparagrafo"/>
    <w:semiHidden/>
    <w:rsid w:val="00B26840"/>
  </w:style>
  <w:style w:type="paragraph" w:styleId="Paragrafoelenco">
    <w:name w:val="List Paragraph"/>
    <w:basedOn w:val="Normale"/>
    <w:uiPriority w:val="34"/>
    <w:qFormat/>
    <w:rsid w:val="00B26840"/>
    <w:pPr>
      <w:spacing w:after="200" w:line="276" w:lineRule="auto"/>
      <w:ind w:left="720" w:firstLine="142"/>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B2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840"/>
    <w:rPr>
      <w:rFonts w:ascii="Tahoma" w:eastAsia="Times"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sservatoriotasselocali.it"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servatoriotasselocal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servatoriotasselocali.i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as1\confcom\comune\innovazione\ATTIVITA'\PROGETTI\altri\ISCOM\CONFERENZA%20STAMPA\file%20excel%20per%20elaborazione%20tabel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iardi\AppData\Local\Microsoft\Windows\Temporary%20Internet%20Files\Content.IE5\WIEWLT85\per%20grafici%20rifiut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150109660949915"/>
          <c:y val="0.16252083943751114"/>
          <c:w val="0.43182250167476866"/>
          <c:h val="0.75289692748802439"/>
        </c:manualLayout>
      </c:layout>
      <c:lineChart>
        <c:grouping val="standard"/>
        <c:varyColors val="0"/>
        <c:ser>
          <c:idx val="0"/>
          <c:order val="0"/>
          <c:tx>
            <c:strRef>
              <c:f>'produzione rifiuti'!$C$5:$I$5</c:f>
              <c:strCache>
                <c:ptCount val="1"/>
                <c:pt idx="0">
                  <c:v>32479 31386,20 29993,50 29594,70 29480,00 29524,00 30116,00</c:v>
                </c:pt>
              </c:strCache>
            </c:strRef>
          </c:tx>
          <c:marker>
            <c:symbol val="none"/>
          </c:marker>
          <c:cat>
            <c:numRef>
              <c:f>'produzione rifiuti'!$C$4:$I$4</c:f>
              <c:numCache>
                <c:formatCode>General</c:formatCode>
                <c:ptCount val="7"/>
                <c:pt idx="0">
                  <c:v>2010</c:v>
                </c:pt>
                <c:pt idx="1">
                  <c:v>2011</c:v>
                </c:pt>
                <c:pt idx="2">
                  <c:v>2012</c:v>
                </c:pt>
                <c:pt idx="3">
                  <c:v>2013</c:v>
                </c:pt>
                <c:pt idx="4">
                  <c:v>2014</c:v>
                </c:pt>
                <c:pt idx="5">
                  <c:v>2015</c:v>
                </c:pt>
                <c:pt idx="6">
                  <c:v>2016</c:v>
                </c:pt>
              </c:numCache>
            </c:numRef>
          </c:cat>
          <c:val>
            <c:numRef>
              <c:f>'produzione rifiuti'!$C$5:$I$5</c:f>
              <c:numCache>
                <c:formatCode>0.00</c:formatCode>
                <c:ptCount val="7"/>
                <c:pt idx="0" formatCode="0">
                  <c:v>32479.1</c:v>
                </c:pt>
                <c:pt idx="1">
                  <c:v>31386.2</c:v>
                </c:pt>
                <c:pt idx="2">
                  <c:v>29993.5</c:v>
                </c:pt>
                <c:pt idx="3">
                  <c:v>29594.7</c:v>
                </c:pt>
                <c:pt idx="4">
                  <c:v>29480</c:v>
                </c:pt>
                <c:pt idx="5">
                  <c:v>29524</c:v>
                </c:pt>
                <c:pt idx="6">
                  <c:v>30116</c:v>
                </c:pt>
              </c:numCache>
            </c:numRef>
          </c:val>
          <c:smooth val="0"/>
        </c:ser>
        <c:dLbls>
          <c:showLegendKey val="0"/>
          <c:showVal val="0"/>
          <c:showCatName val="0"/>
          <c:showSerName val="0"/>
          <c:showPercent val="0"/>
          <c:showBubbleSize val="0"/>
        </c:dLbls>
        <c:marker val="1"/>
        <c:smooth val="0"/>
        <c:axId val="117656960"/>
        <c:axId val="110507136"/>
      </c:lineChart>
      <c:lineChart>
        <c:grouping val="standard"/>
        <c:varyColors val="0"/>
        <c:ser>
          <c:idx val="1"/>
          <c:order val="1"/>
          <c:tx>
            <c:strRef>
              <c:f>'produzione rifiuti'!$C$6:$I$6</c:f>
              <c:strCache>
                <c:ptCount val="1"/>
                <c:pt idx="0">
                  <c:v>5,40 5,57 6,01 7,40 8,00 8,70 9,10</c:v>
                </c:pt>
              </c:strCache>
            </c:strRef>
          </c:tx>
          <c:marker>
            <c:symbol val="none"/>
          </c:marker>
          <c:cat>
            <c:numRef>
              <c:f>'produzione rifiuti'!$C$4:$G$4</c:f>
              <c:numCache>
                <c:formatCode>General</c:formatCode>
                <c:ptCount val="5"/>
                <c:pt idx="0">
                  <c:v>2010</c:v>
                </c:pt>
                <c:pt idx="1">
                  <c:v>2011</c:v>
                </c:pt>
                <c:pt idx="2">
                  <c:v>2012</c:v>
                </c:pt>
                <c:pt idx="3">
                  <c:v>2013</c:v>
                </c:pt>
                <c:pt idx="4">
                  <c:v>2014</c:v>
                </c:pt>
              </c:numCache>
            </c:numRef>
          </c:cat>
          <c:val>
            <c:numRef>
              <c:f>'produzione rifiuti'!$C$6:$I$6</c:f>
              <c:numCache>
                <c:formatCode>0.00</c:formatCode>
                <c:ptCount val="7"/>
                <c:pt idx="0">
                  <c:v>5.4</c:v>
                </c:pt>
                <c:pt idx="1">
                  <c:v>5.57</c:v>
                </c:pt>
                <c:pt idx="2">
                  <c:v>6.01</c:v>
                </c:pt>
                <c:pt idx="3">
                  <c:v>7.4</c:v>
                </c:pt>
                <c:pt idx="4">
                  <c:v>8</c:v>
                </c:pt>
                <c:pt idx="5">
                  <c:v>8.6999999999999993</c:v>
                </c:pt>
                <c:pt idx="6">
                  <c:v>9.1</c:v>
                </c:pt>
              </c:numCache>
            </c:numRef>
          </c:val>
          <c:smooth val="0"/>
        </c:ser>
        <c:dLbls>
          <c:showLegendKey val="0"/>
          <c:showVal val="0"/>
          <c:showCatName val="0"/>
          <c:showSerName val="0"/>
          <c:showPercent val="0"/>
          <c:showBubbleSize val="0"/>
        </c:dLbls>
        <c:marker val="1"/>
        <c:smooth val="0"/>
        <c:axId val="110510464"/>
        <c:axId val="110508672"/>
      </c:lineChart>
      <c:catAx>
        <c:axId val="117656960"/>
        <c:scaling>
          <c:orientation val="minMax"/>
        </c:scaling>
        <c:delete val="0"/>
        <c:axPos val="b"/>
        <c:numFmt formatCode="General" sourceLinked="1"/>
        <c:majorTickMark val="out"/>
        <c:minorTickMark val="none"/>
        <c:tickLblPos val="nextTo"/>
        <c:crossAx val="110507136"/>
        <c:crosses val="autoZero"/>
        <c:auto val="1"/>
        <c:lblAlgn val="ctr"/>
        <c:lblOffset val="100"/>
        <c:noMultiLvlLbl val="0"/>
      </c:catAx>
      <c:valAx>
        <c:axId val="110507136"/>
        <c:scaling>
          <c:orientation val="minMax"/>
          <c:max val="33000"/>
          <c:min val="29000"/>
        </c:scaling>
        <c:delete val="0"/>
        <c:axPos val="l"/>
        <c:majorGridlines/>
        <c:numFmt formatCode="0" sourceLinked="1"/>
        <c:majorTickMark val="out"/>
        <c:minorTickMark val="none"/>
        <c:tickLblPos val="nextTo"/>
        <c:crossAx val="117656960"/>
        <c:crosses val="autoZero"/>
        <c:crossBetween val="between"/>
      </c:valAx>
      <c:valAx>
        <c:axId val="110508672"/>
        <c:scaling>
          <c:orientation val="minMax"/>
          <c:max val="9.3000000000000007"/>
          <c:min val="5"/>
        </c:scaling>
        <c:delete val="0"/>
        <c:axPos val="r"/>
        <c:numFmt formatCode="0.00" sourceLinked="1"/>
        <c:majorTickMark val="out"/>
        <c:minorTickMark val="none"/>
        <c:tickLblPos val="nextTo"/>
        <c:crossAx val="110510464"/>
        <c:crosses val="max"/>
        <c:crossBetween val="between"/>
      </c:valAx>
      <c:catAx>
        <c:axId val="110510464"/>
        <c:scaling>
          <c:orientation val="minMax"/>
        </c:scaling>
        <c:delete val="1"/>
        <c:axPos val="b"/>
        <c:numFmt formatCode="General" sourceLinked="1"/>
        <c:majorTickMark val="out"/>
        <c:minorTickMark val="none"/>
        <c:tickLblPos val="nextTo"/>
        <c:crossAx val="110508672"/>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03015215881534E-2"/>
          <c:y val="0.18371031828005396"/>
          <c:w val="0.89806469680803358"/>
          <c:h val="0.72188644714749561"/>
        </c:manualLayout>
      </c:layout>
      <c:lineChart>
        <c:grouping val="standard"/>
        <c:varyColors val="0"/>
        <c:ser>
          <c:idx val="0"/>
          <c:order val="0"/>
          <c:tx>
            <c:strRef>
              <c:f>'[per grafici rifiuti.xlsx]Foglio1'!$F$19</c:f>
              <c:strCache>
                <c:ptCount val="1"/>
                <c:pt idx="0">
                  <c:v>Spesa rifiuti reale (Mlrd)*</c:v>
                </c:pt>
              </c:strCache>
            </c:strRef>
          </c:tx>
          <c:marker>
            <c:symbol val="none"/>
          </c:marker>
          <c:dLbls>
            <c:dLblPos val="t"/>
            <c:showLegendKey val="0"/>
            <c:showVal val="1"/>
            <c:showCatName val="0"/>
            <c:showSerName val="0"/>
            <c:showPercent val="0"/>
            <c:showBubbleSize val="0"/>
            <c:showLeaderLines val="0"/>
          </c:dLbls>
          <c:cat>
            <c:numRef>
              <c:f>'[per grafici rifiuti.xlsx]Foglio1'!$K$6:$N$6</c:f>
              <c:numCache>
                <c:formatCode>General</c:formatCode>
                <c:ptCount val="4"/>
                <c:pt idx="0">
                  <c:v>2013</c:v>
                </c:pt>
                <c:pt idx="1">
                  <c:v>2014</c:v>
                </c:pt>
                <c:pt idx="2">
                  <c:v>2015</c:v>
                </c:pt>
                <c:pt idx="3">
                  <c:v>2016</c:v>
                </c:pt>
              </c:numCache>
            </c:numRef>
          </c:cat>
          <c:val>
            <c:numRef>
              <c:f>'[per grafici rifiuti.xlsx]Foglio1'!$K$19:$N$19</c:f>
              <c:numCache>
                <c:formatCode>#,##0.00</c:formatCode>
                <c:ptCount val="4"/>
                <c:pt idx="0">
                  <c:v>6.9757115213499992</c:v>
                </c:pt>
                <c:pt idx="1">
                  <c:v>7.2965885114080002</c:v>
                </c:pt>
                <c:pt idx="2">
                  <c:v>7.8474219502999993</c:v>
                </c:pt>
                <c:pt idx="3">
                  <c:v>8.2228261989</c:v>
                </c:pt>
              </c:numCache>
            </c:numRef>
          </c:val>
          <c:smooth val="0"/>
        </c:ser>
        <c:ser>
          <c:idx val="1"/>
          <c:order val="1"/>
          <c:tx>
            <c:strRef>
              <c:f>'[per grafici rifiuti.xlsx]Foglio1'!$F$23</c:f>
              <c:strCache>
                <c:ptCount val="1"/>
                <c:pt idx="0">
                  <c:v>Spesa rifiuti potenziale (Obiettivo UE**)</c:v>
                </c:pt>
              </c:strCache>
            </c:strRef>
          </c:tx>
          <c:marker>
            <c:symbol val="none"/>
          </c:marker>
          <c:dLbls>
            <c:dLblPos val="t"/>
            <c:showLegendKey val="0"/>
            <c:showVal val="1"/>
            <c:showCatName val="0"/>
            <c:showSerName val="0"/>
            <c:showPercent val="0"/>
            <c:showBubbleSize val="0"/>
            <c:showLeaderLines val="0"/>
          </c:dLbls>
          <c:cat>
            <c:numRef>
              <c:f>'[per grafici rifiuti.xlsx]Foglio1'!$K$6:$N$6</c:f>
              <c:numCache>
                <c:formatCode>General</c:formatCode>
                <c:ptCount val="4"/>
                <c:pt idx="0">
                  <c:v>2013</c:v>
                </c:pt>
                <c:pt idx="1">
                  <c:v>2014</c:v>
                </c:pt>
                <c:pt idx="2">
                  <c:v>2015</c:v>
                </c:pt>
                <c:pt idx="3">
                  <c:v>2016</c:v>
                </c:pt>
              </c:numCache>
            </c:numRef>
          </c:cat>
          <c:val>
            <c:numRef>
              <c:f>'[per grafici rifiuti.xlsx]Foglio1'!$K$23:$N$23</c:f>
              <c:numCache>
                <c:formatCode>#,##0.00</c:formatCode>
                <c:ptCount val="4"/>
                <c:pt idx="0">
                  <c:v>5.5995547685000009</c:v>
                </c:pt>
                <c:pt idx="1">
                  <c:v>6.0090693165999998</c:v>
                </c:pt>
                <c:pt idx="2">
                  <c:v>6.6497670981999999</c:v>
                </c:pt>
                <c:pt idx="3">
                  <c:v>7.2593112200000007</c:v>
                </c:pt>
              </c:numCache>
            </c:numRef>
          </c:val>
          <c:smooth val="0"/>
        </c:ser>
        <c:ser>
          <c:idx val="2"/>
          <c:order val="2"/>
          <c:tx>
            <c:strRef>
              <c:f>'[per grafici rifiuti.xlsx]Foglio1'!$F$24</c:f>
              <c:strCache>
                <c:ptCount val="1"/>
                <c:pt idx="0">
                  <c:v>Maggior costo  (Mlrd)  Asse DX</c:v>
                </c:pt>
              </c:strCache>
            </c:strRef>
          </c:tx>
          <c:marker>
            <c:symbol val="none"/>
          </c:marker>
          <c:dLbls>
            <c:showLegendKey val="0"/>
            <c:showVal val="1"/>
            <c:showCatName val="0"/>
            <c:showSerName val="0"/>
            <c:showPercent val="0"/>
            <c:showBubbleSize val="0"/>
            <c:showLeaderLines val="0"/>
          </c:dLbls>
          <c:cat>
            <c:numRef>
              <c:f>'[per grafici rifiuti.xlsx]Foglio1'!$K$6:$N$6</c:f>
              <c:numCache>
                <c:formatCode>General</c:formatCode>
                <c:ptCount val="4"/>
                <c:pt idx="0">
                  <c:v>2013</c:v>
                </c:pt>
                <c:pt idx="1">
                  <c:v>2014</c:v>
                </c:pt>
                <c:pt idx="2">
                  <c:v>2015</c:v>
                </c:pt>
                <c:pt idx="3">
                  <c:v>2016</c:v>
                </c:pt>
              </c:numCache>
            </c:numRef>
          </c:cat>
          <c:val>
            <c:numRef>
              <c:f>'[per grafici rifiuti.xlsx]Foglio1'!$K$24:$N$24</c:f>
              <c:numCache>
                <c:formatCode>#,##0.00</c:formatCode>
                <c:ptCount val="4"/>
                <c:pt idx="0">
                  <c:v>1.3761567528499983</c:v>
                </c:pt>
                <c:pt idx="1">
                  <c:v>1.2875191948080005</c:v>
                </c:pt>
                <c:pt idx="2">
                  <c:v>1.1976548520999994</c:v>
                </c:pt>
                <c:pt idx="3">
                  <c:v>0.96351497889999926</c:v>
                </c:pt>
              </c:numCache>
            </c:numRef>
          </c:val>
          <c:smooth val="0"/>
        </c:ser>
        <c:dLbls>
          <c:showLegendKey val="0"/>
          <c:showVal val="0"/>
          <c:showCatName val="0"/>
          <c:showSerName val="0"/>
          <c:showPercent val="0"/>
          <c:showBubbleSize val="0"/>
        </c:dLbls>
        <c:marker val="1"/>
        <c:smooth val="0"/>
        <c:axId val="110551424"/>
        <c:axId val="110552960"/>
      </c:lineChart>
      <c:catAx>
        <c:axId val="110551424"/>
        <c:scaling>
          <c:orientation val="minMax"/>
        </c:scaling>
        <c:delete val="0"/>
        <c:axPos val="b"/>
        <c:numFmt formatCode="General" sourceLinked="1"/>
        <c:majorTickMark val="none"/>
        <c:minorTickMark val="none"/>
        <c:tickLblPos val="nextTo"/>
        <c:crossAx val="110552960"/>
        <c:crosses val="autoZero"/>
        <c:auto val="1"/>
        <c:lblAlgn val="ctr"/>
        <c:lblOffset val="100"/>
        <c:noMultiLvlLbl val="0"/>
      </c:catAx>
      <c:valAx>
        <c:axId val="110552960"/>
        <c:scaling>
          <c:orientation val="minMax"/>
        </c:scaling>
        <c:delete val="0"/>
        <c:axPos val="l"/>
        <c:majorGridlines/>
        <c:numFmt formatCode="#,##0.00" sourceLinked="1"/>
        <c:majorTickMark val="none"/>
        <c:minorTickMark val="none"/>
        <c:tickLblPos val="nextTo"/>
        <c:crossAx val="110551424"/>
        <c:crosses val="autoZero"/>
        <c:crossBetween val="between"/>
      </c:valAx>
    </c:plotArea>
    <c:legend>
      <c:legendPos val="t"/>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t-IT"/>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0.05023</cdr:x>
      <cdr:y>0.0659</cdr:y>
    </cdr:from>
    <cdr:to>
      <cdr:x>0.14764</cdr:x>
      <cdr:y>0.0659</cdr:y>
    </cdr:to>
    <cdr:cxnSp macro="">
      <cdr:nvCxnSpPr>
        <cdr:cNvPr id="3" name="Connettore 1 2"/>
        <cdr:cNvCxnSpPr/>
      </cdr:nvCxnSpPr>
      <cdr:spPr>
        <a:xfrm xmlns:a="http://schemas.openxmlformats.org/drawingml/2006/main">
          <a:off x="314326" y="219076"/>
          <a:ext cx="609600" cy="0"/>
        </a:xfrm>
        <a:prstGeom xmlns:a="http://schemas.openxmlformats.org/drawingml/2006/main" prst="line">
          <a:avLst/>
        </a:prstGeom>
        <a:ln xmlns:a="http://schemas.openxmlformats.org/drawingml/2006/main" w="31750">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0.49619</cdr:x>
      <cdr:y>0.06877</cdr:y>
    </cdr:from>
    <cdr:to>
      <cdr:x>0.59361</cdr:x>
      <cdr:y>0.06877</cdr:y>
    </cdr:to>
    <cdr:cxnSp macro="">
      <cdr:nvCxnSpPr>
        <cdr:cNvPr id="4" name="Connettore 1 3"/>
        <cdr:cNvCxnSpPr/>
      </cdr:nvCxnSpPr>
      <cdr:spPr>
        <a:xfrm xmlns:a="http://schemas.openxmlformats.org/drawingml/2006/main">
          <a:off x="3105151" y="228601"/>
          <a:ext cx="609600" cy="0"/>
        </a:xfrm>
        <a:prstGeom xmlns:a="http://schemas.openxmlformats.org/drawingml/2006/main" prst="line">
          <a:avLst/>
        </a:prstGeom>
        <a:ln xmlns:a="http://schemas.openxmlformats.org/drawingml/2006/main" w="317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0.16438</cdr:x>
      <cdr:y>0.04585</cdr:y>
    </cdr:from>
    <cdr:to>
      <cdr:x>0.46119</cdr:x>
      <cdr:y>0.09456</cdr:y>
    </cdr:to>
    <cdr:sp macro="" textlink="">
      <cdr:nvSpPr>
        <cdr:cNvPr id="5" name="CasellaDiTesto 4"/>
        <cdr:cNvSpPr txBox="1"/>
      </cdr:nvSpPr>
      <cdr:spPr>
        <a:xfrm xmlns:a="http://schemas.openxmlformats.org/drawingml/2006/main">
          <a:off x="1028701" y="152401"/>
          <a:ext cx="185737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0.16743</cdr:x>
      <cdr:y>0.01719</cdr:y>
    </cdr:from>
    <cdr:to>
      <cdr:x>0.53577</cdr:x>
      <cdr:y>0.10029</cdr:y>
    </cdr:to>
    <cdr:sp macro="" textlink="">
      <cdr:nvSpPr>
        <cdr:cNvPr id="6" name="CasellaDiTesto 5"/>
        <cdr:cNvSpPr txBox="1"/>
      </cdr:nvSpPr>
      <cdr:spPr>
        <a:xfrm xmlns:a="http://schemas.openxmlformats.org/drawingml/2006/main">
          <a:off x="1047751" y="57151"/>
          <a:ext cx="23050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1100"/>
            <a:t>produzione</a:t>
          </a:r>
          <a:r>
            <a:rPr lang="it-IT" sz="1100" baseline="0"/>
            <a:t> RU (1000*t)</a:t>
          </a:r>
          <a:endParaRPr lang="it-IT" sz="1100"/>
        </a:p>
      </cdr:txBody>
    </cdr:sp>
  </cdr:relSizeAnchor>
  <cdr:relSizeAnchor xmlns:cdr="http://schemas.openxmlformats.org/drawingml/2006/chartDrawing">
    <cdr:from>
      <cdr:x>0.60178</cdr:x>
      <cdr:y>0.02006</cdr:y>
    </cdr:from>
    <cdr:to>
      <cdr:x>1</cdr:x>
      <cdr:y>0.15186</cdr:y>
    </cdr:to>
    <cdr:sp macro="" textlink="">
      <cdr:nvSpPr>
        <cdr:cNvPr id="7" name="CasellaDiTesto 6"/>
        <cdr:cNvSpPr txBox="1"/>
      </cdr:nvSpPr>
      <cdr:spPr>
        <a:xfrm xmlns:a="http://schemas.openxmlformats.org/drawingml/2006/main">
          <a:off x="3683000" y="65206"/>
          <a:ext cx="2437130" cy="428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1100"/>
            <a:t>peso fiscale della TARI (miliardi di euro)</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6</Pages>
  <Words>2029</Words>
  <Characters>11569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moretti</dc:creator>
  <cp:lastModifiedBy>moretti</cp:lastModifiedBy>
  <cp:revision>1</cp:revision>
  <dcterms:created xsi:type="dcterms:W3CDTF">2018-07-24T13:45:00Z</dcterms:created>
  <dcterms:modified xsi:type="dcterms:W3CDTF">2018-07-24T14:08:00Z</dcterms:modified>
</cp:coreProperties>
</file>