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 wp14:anchorId="3E499F22" wp14:editId="296AB50B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</w:p>
    <w:p w:rsidR="00AB15F1" w:rsidRDefault="00057EA4" w:rsidP="00057EA4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</w:p>
    <w:p w:rsidR="0001739D" w:rsidRDefault="0001739D" w:rsidP="00AE5666">
      <w:pPr>
        <w:jc w:val="center"/>
        <w:rPr>
          <w:rFonts w:ascii="Verdana" w:hAnsi="Verdana"/>
          <w:sz w:val="22"/>
          <w:szCs w:val="22"/>
          <w:u w:val="single"/>
        </w:rPr>
      </w:pPr>
    </w:p>
    <w:p w:rsidR="00937C9B" w:rsidRPr="00B26889" w:rsidRDefault="00937C9B" w:rsidP="00BC46BA">
      <w:pPr>
        <w:ind w:right="281"/>
        <w:jc w:val="both"/>
        <w:rPr>
          <w:rFonts w:ascii="Verdana" w:hAnsi="Verdana" w:cs="Tahoma"/>
          <w:b/>
          <w:sz w:val="20"/>
        </w:rPr>
      </w:pPr>
    </w:p>
    <w:p w:rsidR="005C5CC8" w:rsidRPr="00B26889" w:rsidRDefault="005C5CC8">
      <w:pPr>
        <w:ind w:right="281"/>
        <w:jc w:val="center"/>
        <w:rPr>
          <w:rFonts w:ascii="Verdana" w:hAnsi="Verdana" w:cs="Tahoma"/>
          <w:b/>
          <w:sz w:val="20"/>
        </w:rPr>
      </w:pPr>
    </w:p>
    <w:p w:rsidR="00647F12" w:rsidRPr="00B26889" w:rsidRDefault="00484AA2" w:rsidP="00B26889">
      <w:pPr>
        <w:ind w:right="281"/>
        <w:jc w:val="both"/>
        <w:rPr>
          <w:rFonts w:ascii="Verdana" w:hAnsi="Verdana" w:cs="Tahoma"/>
          <w:b/>
          <w:sz w:val="20"/>
        </w:rPr>
      </w:pPr>
      <w:r w:rsidRPr="00B26889">
        <w:rPr>
          <w:rFonts w:ascii="Verdana" w:hAnsi="Verdana" w:cs="Tahoma"/>
          <w:b/>
          <w:sz w:val="20"/>
        </w:rPr>
        <w:t>LA RILEVAZIONE IN DETTAGLIO</w:t>
      </w:r>
    </w:p>
    <w:p w:rsidR="0005271C" w:rsidRPr="00937C9B" w:rsidRDefault="00484AA2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 xml:space="preserve">L’indice di fiducia del viaggiatore italiano, elaborato da Confturismo-Confcommercio in collaborazione con l’Istituto Piepoli, mostra </w:t>
      </w:r>
      <w:r w:rsidR="00937C9B">
        <w:rPr>
          <w:rFonts w:ascii="Verdana" w:eastAsia="Calibri" w:hAnsi="Verdana" w:cs="Arial"/>
          <w:sz w:val="20"/>
          <w:lang w:eastAsia="en-US"/>
        </w:rPr>
        <w:t xml:space="preserve">nel mese di luglio </w:t>
      </w:r>
      <w:r w:rsidR="00CC19C9" w:rsidRPr="00937C9B">
        <w:rPr>
          <w:rFonts w:ascii="Verdana" w:eastAsia="Calibri" w:hAnsi="Verdana" w:cs="Arial"/>
          <w:sz w:val="20"/>
          <w:lang w:eastAsia="en-US"/>
        </w:rPr>
        <w:t>un</w:t>
      </w:r>
      <w:r w:rsidR="008138D5" w:rsidRPr="00937C9B">
        <w:rPr>
          <w:rFonts w:ascii="Verdana" w:eastAsia="Calibri" w:hAnsi="Verdana" w:cs="Arial"/>
          <w:sz w:val="20"/>
          <w:lang w:eastAsia="en-US"/>
        </w:rPr>
        <w:t xml:space="preserve">a </w:t>
      </w:r>
      <w:r w:rsidR="00605BC9" w:rsidRPr="00937C9B">
        <w:rPr>
          <w:rFonts w:ascii="Verdana" w:eastAsia="Calibri" w:hAnsi="Verdana" w:cs="Arial"/>
          <w:sz w:val="20"/>
          <w:lang w:eastAsia="en-US"/>
        </w:rPr>
        <w:t>crescita</w:t>
      </w:r>
      <w:r w:rsidR="008138D5" w:rsidRPr="00937C9B">
        <w:rPr>
          <w:rFonts w:ascii="Verdana" w:eastAsia="Calibri" w:hAnsi="Verdana" w:cs="Arial"/>
          <w:sz w:val="20"/>
          <w:lang w:eastAsia="en-US"/>
        </w:rPr>
        <w:t xml:space="preserve"> </w:t>
      </w:r>
      <w:r w:rsidR="00CC19C9" w:rsidRPr="00937C9B">
        <w:rPr>
          <w:rFonts w:ascii="Verdana" w:eastAsia="Calibri" w:hAnsi="Verdana" w:cs="Arial"/>
          <w:sz w:val="20"/>
          <w:lang w:eastAsia="en-US"/>
        </w:rPr>
        <w:t>del</w:t>
      </w:r>
      <w:r w:rsidR="008E1CBC" w:rsidRPr="00937C9B">
        <w:rPr>
          <w:rFonts w:ascii="Verdana" w:eastAsia="Calibri" w:hAnsi="Verdana" w:cs="Arial"/>
          <w:sz w:val="20"/>
          <w:lang w:eastAsia="en-US"/>
        </w:rPr>
        <w:t>la propens</w:t>
      </w:r>
      <w:r w:rsidR="009243D3" w:rsidRPr="00937C9B">
        <w:rPr>
          <w:rFonts w:ascii="Verdana" w:eastAsia="Calibri" w:hAnsi="Verdana" w:cs="Arial"/>
          <w:sz w:val="20"/>
          <w:lang w:eastAsia="en-US"/>
        </w:rPr>
        <w:t>ione degli I</w:t>
      </w:r>
      <w:r w:rsidR="00E77705" w:rsidRPr="00937C9B">
        <w:rPr>
          <w:rFonts w:ascii="Verdana" w:eastAsia="Calibri" w:hAnsi="Verdana" w:cs="Arial"/>
          <w:sz w:val="20"/>
          <w:lang w:eastAsia="en-US"/>
        </w:rPr>
        <w:t>taliani al</w:t>
      </w:r>
      <w:r w:rsidR="007A43D0" w:rsidRPr="00937C9B">
        <w:rPr>
          <w:rFonts w:ascii="Verdana" w:eastAsia="Calibri" w:hAnsi="Verdana" w:cs="Arial"/>
          <w:sz w:val="20"/>
          <w:lang w:eastAsia="en-US"/>
        </w:rPr>
        <w:t xml:space="preserve"> viaggio</w:t>
      </w:r>
      <w:r w:rsidR="00700443" w:rsidRPr="00937C9B">
        <w:rPr>
          <w:rFonts w:ascii="Verdana" w:eastAsia="Calibri" w:hAnsi="Verdana" w:cs="Arial"/>
          <w:sz w:val="20"/>
          <w:lang w:eastAsia="en-US"/>
        </w:rPr>
        <w:t xml:space="preserve">, che porta questo indice </w:t>
      </w:r>
      <w:r w:rsidR="00605BC9" w:rsidRPr="00937C9B">
        <w:rPr>
          <w:rFonts w:ascii="Verdana" w:eastAsia="Calibri" w:hAnsi="Verdana" w:cs="Arial"/>
          <w:sz w:val="20"/>
          <w:lang w:eastAsia="en-US"/>
        </w:rPr>
        <w:t>al massimo storico</w:t>
      </w:r>
      <w:r w:rsidR="008138D5" w:rsidRPr="00937C9B">
        <w:rPr>
          <w:rFonts w:ascii="Verdana" w:eastAsia="Calibri" w:hAnsi="Verdana" w:cs="Arial"/>
          <w:sz w:val="20"/>
          <w:lang w:eastAsia="en-US"/>
        </w:rPr>
        <w:t>.</w:t>
      </w:r>
    </w:p>
    <w:p w:rsidR="00EA0B68" w:rsidRDefault="00EA0B68" w:rsidP="00B2688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8138D5" w:rsidRPr="00D96270" w:rsidRDefault="00CB265A" w:rsidP="00B46733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CB265A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500211976" r:id="rId13"/>
        </w:object>
      </w:r>
    </w:p>
    <w:p w:rsidR="00EA0B68" w:rsidRPr="00B14B3C" w:rsidRDefault="00EA0B68" w:rsidP="00B14B3C">
      <w:pPr>
        <w:ind w:right="281" w:hanging="1134"/>
        <w:jc w:val="center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EA0B68" w:rsidRDefault="00EA0B6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Pr="00937C9B" w:rsidRDefault="00B26889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9E086F" w:rsidRPr="00937C9B" w:rsidRDefault="00E77705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AD5966" w:rsidRPr="00937C9B">
        <w:rPr>
          <w:rFonts w:ascii="Verdana" w:eastAsia="Calibri" w:hAnsi="Verdana" w:cs="Arial"/>
          <w:sz w:val="20"/>
          <w:lang w:eastAsia="en-US"/>
        </w:rPr>
        <w:t xml:space="preserve">a </w:t>
      </w:r>
      <w:r w:rsidR="007C6D68" w:rsidRPr="00937C9B">
        <w:rPr>
          <w:rFonts w:ascii="Verdana" w:eastAsia="Calibri" w:hAnsi="Verdana" w:cs="Arial"/>
          <w:sz w:val="20"/>
          <w:lang w:eastAsia="en-US"/>
        </w:rPr>
        <w:t>luglio</w:t>
      </w:r>
      <w:r w:rsidR="008138D5" w:rsidRPr="00937C9B">
        <w:rPr>
          <w:rFonts w:ascii="Verdana" w:eastAsia="Calibri" w:hAnsi="Verdana" w:cs="Arial"/>
          <w:sz w:val="20"/>
          <w:lang w:eastAsia="en-US"/>
        </w:rPr>
        <w:t xml:space="preserve"> a</w:t>
      </w:r>
      <w:r w:rsidR="00AD5966" w:rsidRPr="00937C9B">
        <w:rPr>
          <w:rFonts w:ascii="Verdana" w:eastAsia="Calibri" w:hAnsi="Verdana" w:cs="Arial"/>
          <w:sz w:val="20"/>
          <w:lang w:eastAsia="en-US"/>
        </w:rPr>
        <w:t>d</w:t>
      </w:r>
      <w:r w:rsidR="008138D5" w:rsidRPr="00937C9B">
        <w:rPr>
          <w:rFonts w:ascii="Verdana" w:eastAsia="Calibri" w:hAnsi="Verdana" w:cs="Arial"/>
          <w:sz w:val="20"/>
          <w:lang w:eastAsia="en-US"/>
        </w:rPr>
        <w:t xml:space="preserve"> </w:t>
      </w:r>
      <w:r w:rsidR="009E086F" w:rsidRPr="00937C9B">
        <w:rPr>
          <w:rFonts w:ascii="Verdana" w:eastAsia="Calibri" w:hAnsi="Verdana" w:cs="Arial"/>
          <w:sz w:val="20"/>
          <w:lang w:eastAsia="en-US"/>
        </w:rPr>
        <w:t>un valore pari</w:t>
      </w:r>
      <w:r w:rsidR="007A43D0" w:rsidRPr="00937C9B">
        <w:rPr>
          <w:rFonts w:ascii="Verdana" w:eastAsia="Calibri" w:hAnsi="Verdana" w:cs="Arial"/>
          <w:sz w:val="20"/>
          <w:lang w:eastAsia="en-US"/>
        </w:rPr>
        <w:t xml:space="preserve"> a </w:t>
      </w:r>
      <w:r w:rsidR="00AD5966" w:rsidRPr="00937C9B">
        <w:rPr>
          <w:rFonts w:ascii="Verdana" w:eastAsia="Calibri" w:hAnsi="Verdana" w:cs="Arial"/>
          <w:sz w:val="20"/>
          <w:lang w:eastAsia="en-US"/>
        </w:rPr>
        <w:t>6</w:t>
      </w:r>
      <w:r w:rsidR="007C6D68" w:rsidRPr="00937C9B">
        <w:rPr>
          <w:rFonts w:ascii="Verdana" w:eastAsia="Calibri" w:hAnsi="Verdana" w:cs="Arial"/>
          <w:sz w:val="20"/>
          <w:lang w:eastAsia="en-US"/>
        </w:rPr>
        <w:t>6</w:t>
      </w:r>
      <w:r w:rsidR="008138D5" w:rsidRPr="00937C9B">
        <w:rPr>
          <w:rFonts w:ascii="Verdana" w:eastAsia="Calibri" w:hAnsi="Verdana" w:cs="Arial"/>
          <w:sz w:val="20"/>
          <w:lang w:eastAsia="en-US"/>
        </w:rPr>
        <w:t xml:space="preserve">, in </w:t>
      </w:r>
      <w:r w:rsidR="007F662F" w:rsidRPr="00937C9B">
        <w:rPr>
          <w:rFonts w:ascii="Verdana" w:eastAsia="Calibri" w:hAnsi="Verdana" w:cs="Arial"/>
          <w:sz w:val="20"/>
          <w:lang w:eastAsia="en-US"/>
        </w:rPr>
        <w:t xml:space="preserve">crescita rispetto </w:t>
      </w:r>
      <w:r w:rsidR="007A43D0" w:rsidRPr="00937C9B">
        <w:rPr>
          <w:rFonts w:ascii="Verdana" w:eastAsia="Calibri" w:hAnsi="Verdana" w:cs="Arial"/>
          <w:sz w:val="20"/>
          <w:lang w:eastAsia="en-US"/>
        </w:rPr>
        <w:t>al mese precedente</w:t>
      </w:r>
      <w:r w:rsidR="00937C9B">
        <w:rPr>
          <w:rFonts w:ascii="Verdana" w:eastAsia="Calibri" w:hAnsi="Verdana" w:cs="Arial"/>
          <w:sz w:val="20"/>
          <w:lang w:eastAsia="en-US"/>
        </w:rPr>
        <w:t xml:space="preserve"> (63)</w:t>
      </w:r>
      <w:r w:rsidR="00953353" w:rsidRPr="00937C9B">
        <w:rPr>
          <w:rFonts w:ascii="Verdana" w:eastAsia="Calibri" w:hAnsi="Verdana" w:cs="Arial"/>
          <w:sz w:val="20"/>
          <w:lang w:eastAsia="en-US"/>
        </w:rPr>
        <w:t>.</w:t>
      </w:r>
    </w:p>
    <w:p w:rsidR="007205ED" w:rsidRPr="00937C9B" w:rsidRDefault="00876A9E" w:rsidP="00937C9B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>Il valore</w:t>
      </w:r>
      <w:r w:rsidR="007205ED" w:rsidRPr="00937C9B">
        <w:rPr>
          <w:rFonts w:ascii="Verdana" w:eastAsia="Calibri" w:hAnsi="Verdana" w:cs="Arial"/>
          <w:sz w:val="20"/>
          <w:lang w:eastAsia="en-US"/>
        </w:rPr>
        <w:t xml:space="preserve"> raggiunge il</w:t>
      </w:r>
      <w:r w:rsidRPr="00937C9B">
        <w:rPr>
          <w:rFonts w:ascii="Verdana" w:eastAsia="Calibri" w:hAnsi="Verdana" w:cs="Arial"/>
          <w:sz w:val="20"/>
          <w:lang w:eastAsia="en-US"/>
        </w:rPr>
        <w:t xml:space="preserve"> massimo storico per l’indice, </w:t>
      </w:r>
      <w:r w:rsidR="007205ED" w:rsidRPr="00937C9B">
        <w:rPr>
          <w:rFonts w:ascii="Verdana" w:eastAsia="Calibri" w:hAnsi="Verdana" w:cs="Arial"/>
          <w:sz w:val="20"/>
          <w:lang w:eastAsia="en-US"/>
        </w:rPr>
        <w:t xml:space="preserve">anche grazie all’andamento </w:t>
      </w:r>
      <w:r w:rsidR="007C6D68" w:rsidRPr="00937C9B">
        <w:rPr>
          <w:rFonts w:ascii="Verdana" w:eastAsia="Calibri" w:hAnsi="Verdana" w:cs="Arial"/>
          <w:sz w:val="20"/>
          <w:lang w:eastAsia="en-US"/>
        </w:rPr>
        <w:t xml:space="preserve">positivo dell’economia. Rispetto al mese di </w:t>
      </w:r>
      <w:r w:rsidR="00937C9B">
        <w:rPr>
          <w:rFonts w:ascii="Verdana" w:eastAsia="Calibri" w:hAnsi="Verdana" w:cs="Arial"/>
          <w:sz w:val="20"/>
          <w:lang w:eastAsia="en-US"/>
        </w:rPr>
        <w:t>o</w:t>
      </w:r>
      <w:r w:rsidR="007C6D68" w:rsidRPr="00937C9B">
        <w:rPr>
          <w:rFonts w:ascii="Verdana" w:eastAsia="Calibri" w:hAnsi="Verdana" w:cs="Arial"/>
          <w:sz w:val="20"/>
          <w:lang w:eastAsia="en-US"/>
        </w:rPr>
        <w:t>ttobre del 2014, l’indice ha recuperato ben 11 punti, mostrando dunque un forte recupero dell’ottimismo</w:t>
      </w:r>
      <w:r w:rsidR="00066658" w:rsidRPr="00937C9B">
        <w:rPr>
          <w:rFonts w:ascii="Verdana" w:eastAsia="Calibri" w:hAnsi="Verdana" w:cs="Arial"/>
          <w:sz w:val="20"/>
          <w:lang w:eastAsia="en-US"/>
        </w:rPr>
        <w:t xml:space="preserve"> deriva</w:t>
      </w:r>
      <w:r w:rsidR="00937C9B">
        <w:rPr>
          <w:rFonts w:ascii="Verdana" w:eastAsia="Calibri" w:hAnsi="Verdana" w:cs="Arial"/>
          <w:sz w:val="20"/>
          <w:lang w:eastAsia="en-US"/>
        </w:rPr>
        <w:t>nte</w:t>
      </w:r>
      <w:r w:rsidR="00066658" w:rsidRPr="00937C9B">
        <w:rPr>
          <w:rFonts w:ascii="Verdana" w:eastAsia="Calibri" w:hAnsi="Verdana" w:cs="Arial"/>
          <w:sz w:val="20"/>
          <w:lang w:eastAsia="en-US"/>
        </w:rPr>
        <w:t xml:space="preserve"> dai dati macro-economici che indicano come la recessione sia ormai alle spalle.</w:t>
      </w:r>
    </w:p>
    <w:p w:rsidR="00066658" w:rsidRPr="00937C9B" w:rsidRDefault="00066658" w:rsidP="007205ED">
      <w:pPr>
        <w:tabs>
          <w:tab w:val="left" w:pos="5865"/>
        </w:tabs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 xml:space="preserve">Gli ottimisti </w:t>
      </w:r>
      <w:r w:rsidR="00683685" w:rsidRPr="00937C9B">
        <w:rPr>
          <w:rFonts w:ascii="Verdana" w:eastAsia="Calibri" w:hAnsi="Verdana" w:cs="Arial"/>
          <w:sz w:val="20"/>
          <w:lang w:eastAsia="en-US"/>
        </w:rPr>
        <w:t>sulla</w:t>
      </w:r>
      <w:r w:rsidRPr="00937C9B">
        <w:rPr>
          <w:rFonts w:ascii="Verdana" w:eastAsia="Calibri" w:hAnsi="Verdana" w:cs="Arial"/>
          <w:sz w:val="20"/>
          <w:lang w:eastAsia="en-US"/>
        </w:rPr>
        <w:t xml:space="preserve"> </w:t>
      </w:r>
      <w:r w:rsidR="00243507" w:rsidRPr="00937C9B">
        <w:rPr>
          <w:rFonts w:ascii="Verdana" w:eastAsia="Calibri" w:hAnsi="Verdana" w:cs="Arial"/>
          <w:sz w:val="20"/>
          <w:lang w:eastAsia="en-US"/>
        </w:rPr>
        <w:t xml:space="preserve">fine della </w:t>
      </w:r>
      <w:r w:rsidRPr="00937C9B">
        <w:rPr>
          <w:rFonts w:ascii="Verdana" w:eastAsia="Calibri" w:hAnsi="Verdana" w:cs="Arial"/>
          <w:sz w:val="20"/>
          <w:lang w:eastAsia="en-US"/>
        </w:rPr>
        <w:t>recessione sono cresciuti a luglio al 37</w:t>
      </w:r>
      <w:r w:rsidR="00937C9B">
        <w:rPr>
          <w:rFonts w:ascii="Verdana" w:eastAsia="Calibri" w:hAnsi="Verdana" w:cs="Arial"/>
          <w:sz w:val="20"/>
          <w:lang w:eastAsia="en-US"/>
        </w:rPr>
        <w:t>%</w:t>
      </w:r>
      <w:r w:rsidRPr="00937C9B">
        <w:rPr>
          <w:rFonts w:ascii="Verdana" w:eastAsia="Calibri" w:hAnsi="Verdana" w:cs="Arial"/>
          <w:sz w:val="20"/>
          <w:lang w:eastAsia="en-US"/>
        </w:rPr>
        <w:t xml:space="preserve"> del totale, in crescita </w:t>
      </w:r>
      <w:r w:rsidR="00683685" w:rsidRPr="00937C9B">
        <w:rPr>
          <w:rFonts w:ascii="Verdana" w:eastAsia="Calibri" w:hAnsi="Verdana" w:cs="Arial"/>
          <w:sz w:val="20"/>
          <w:lang w:eastAsia="en-US"/>
        </w:rPr>
        <w:t>rispetto al mese di g</w:t>
      </w:r>
      <w:r w:rsidRPr="00937C9B">
        <w:rPr>
          <w:rFonts w:ascii="Verdana" w:eastAsia="Calibri" w:hAnsi="Verdana" w:cs="Arial"/>
          <w:sz w:val="20"/>
          <w:lang w:eastAsia="en-US"/>
        </w:rPr>
        <w:t>iugno.</w:t>
      </w:r>
    </w:p>
    <w:p w:rsidR="007205ED" w:rsidRDefault="007205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Pr="00B26889" w:rsidRDefault="00B26889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7205ED" w:rsidRDefault="00B26889" w:rsidP="00561DE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06665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7" type="#_x0000_t75" style="width:347.25pt;height:260.25pt" o:ole="">
            <v:imagedata r:id="rId14" o:title=""/>
          </v:shape>
          <o:OLEObject Type="Embed" ProgID="PowerPoint.Slide.12" ShapeID="_x0000_i1027" DrawAspect="Content" ObjectID="_1500211977" r:id="rId15"/>
        </w:object>
      </w:r>
    </w:p>
    <w:p w:rsidR="007205ED" w:rsidRPr="00B14B3C" w:rsidRDefault="007205ED" w:rsidP="00B14B3C">
      <w:pPr>
        <w:ind w:right="281" w:hanging="1134"/>
        <w:jc w:val="center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7205ED" w:rsidRPr="00937C9B" w:rsidRDefault="007205ED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066658" w:rsidRPr="00937C9B" w:rsidRDefault="0006665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>Aumenta l’ottimismo tra le donne, dal 30 al 35 per cento e rimane elevato il valore relativo ai giovani.</w:t>
      </w:r>
      <w:r w:rsidR="00683685" w:rsidRPr="00937C9B">
        <w:rPr>
          <w:rFonts w:ascii="Verdana" w:eastAsia="Calibri" w:hAnsi="Verdana" w:cs="Arial"/>
          <w:sz w:val="20"/>
          <w:lang w:eastAsia="en-US"/>
        </w:rPr>
        <w:t xml:space="preserve"> </w:t>
      </w:r>
      <w:r w:rsidRPr="00937C9B">
        <w:rPr>
          <w:rFonts w:ascii="Verdana" w:eastAsia="Calibri" w:hAnsi="Verdana" w:cs="Arial"/>
          <w:sz w:val="20"/>
          <w:lang w:eastAsia="en-US"/>
        </w:rPr>
        <w:t>Rispetto al mese di maggio, l’incremento è ancora più pronunciato. Infatti due mesi fa, l’ottimismo riguardava solo il 31 per cento della popolazione.</w:t>
      </w:r>
    </w:p>
    <w:p w:rsidR="007205ED" w:rsidRPr="00B26889" w:rsidRDefault="000E245E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937C9B">
        <w:rPr>
          <w:rFonts w:ascii="Verdana" w:eastAsia="Calibri" w:hAnsi="Verdana" w:cs="Arial"/>
          <w:sz w:val="20"/>
          <w:lang w:eastAsia="en-US"/>
        </w:rPr>
        <w:t>La ripresa economica e il calo della disoccupazione mettono in evidenza il perché l’indice di fiducia del viaggiatore abbia raggiunto il massimo storico.</w:t>
      </w:r>
      <w:r w:rsidR="00B26889">
        <w:rPr>
          <w:rFonts w:ascii="Verdana" w:eastAsia="Calibri" w:hAnsi="Verdana" w:cs="Arial"/>
          <w:sz w:val="20"/>
          <w:lang w:eastAsia="en-US"/>
        </w:rPr>
        <w:t xml:space="preserve"> </w:t>
      </w:r>
      <w:r w:rsidR="002124B6" w:rsidRPr="00B26889">
        <w:rPr>
          <w:rFonts w:ascii="Verdana" w:eastAsia="Calibri" w:hAnsi="Verdana" w:cs="Arial"/>
          <w:sz w:val="20"/>
          <w:lang w:eastAsia="en-US"/>
        </w:rPr>
        <w:t xml:space="preserve">Il PIL italiano mostra cenni di ripresa su base annua. La recessione si è fermata nel primo trimestre del 2015 e l’economia dovrebbe continuare a crescere anche nel secondo trimestre ad un ritmo </w:t>
      </w:r>
      <w:r w:rsidR="00066658" w:rsidRPr="00B26889">
        <w:rPr>
          <w:rFonts w:ascii="Verdana" w:eastAsia="Calibri" w:hAnsi="Verdana" w:cs="Arial"/>
          <w:sz w:val="20"/>
          <w:lang w:eastAsia="en-US"/>
        </w:rPr>
        <w:t>sempre maggiore.</w:t>
      </w:r>
    </w:p>
    <w:p w:rsidR="00B26889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Pr="00B26889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La rilevazione di luglio vede un ulteriore incremento della propensione a viaggiare, misurabile in un più quattro per cento rispetto al mese di giugno. È il terzo valore positivo consecutivo in questa sequenza ed indica che la tendenza è molto buona.</w:t>
      </w:r>
    </w:p>
    <w:p w:rsidR="00B26889" w:rsidRPr="00B26889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I prossimi tre mesi si caratterizzano inoltre per una durata media del viaggio in crescita rispetto al mese di luglio dello scorso anno.</w:t>
      </w:r>
    </w:p>
    <w:p w:rsidR="00B26889" w:rsidRPr="008C66CD" w:rsidRDefault="00B26889" w:rsidP="00B26889">
      <w:pPr>
        <w:ind w:right="281"/>
        <w:rPr>
          <w:rFonts w:ascii="Verdana" w:eastAsia="Calibri" w:hAnsi="Verdana" w:cs="Arial"/>
          <w:sz w:val="20"/>
          <w:lang w:eastAsia="en-US"/>
        </w:rPr>
      </w:pPr>
    </w:p>
    <w:p w:rsidR="008C66CD" w:rsidRPr="008C66CD" w:rsidRDefault="008C66CD" w:rsidP="00B26889">
      <w:pPr>
        <w:ind w:right="281"/>
        <w:rPr>
          <w:rFonts w:ascii="Verdana" w:eastAsia="Calibri" w:hAnsi="Verdana" w:cs="Arial"/>
          <w:sz w:val="20"/>
          <w:lang w:eastAsia="en-US"/>
        </w:rPr>
      </w:pPr>
    </w:p>
    <w:p w:rsidR="00B26889" w:rsidRPr="00D96270" w:rsidRDefault="00B26889" w:rsidP="00B26889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ED6F5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8" type="#_x0000_t75" style="width:5in;height:270pt" o:ole="">
            <v:imagedata r:id="rId16" o:title=""/>
          </v:shape>
          <o:OLEObject Type="Embed" ProgID="PowerPoint.Slide.12" ShapeID="_x0000_i1028" DrawAspect="Content" ObjectID="_1500211978" r:id="rId17"/>
        </w:object>
      </w:r>
    </w:p>
    <w:p w:rsidR="00B26889" w:rsidRPr="00D96270" w:rsidRDefault="00B26889" w:rsidP="00B2688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B26889" w:rsidRPr="00B14B3C" w:rsidRDefault="00B26889" w:rsidP="00B26889">
      <w:pPr>
        <w:ind w:right="281" w:firstLine="1134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B26889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8C66CD" w:rsidRPr="008C66CD" w:rsidRDefault="008C66CD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Pr="008C66CD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8C66CD">
        <w:rPr>
          <w:rFonts w:ascii="Verdana" w:eastAsia="Calibri" w:hAnsi="Verdana" w:cs="Arial"/>
          <w:sz w:val="20"/>
          <w:lang w:eastAsia="en-US"/>
        </w:rPr>
        <w:t>Il valore è in leggera diminuzione rispetto a giugno, ma il dato sconta il fatto che vengono conteggiati i prossimi tre mesi, coda dell’estate.</w:t>
      </w:r>
    </w:p>
    <w:p w:rsidR="00B26889" w:rsidRPr="008C66CD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8C66CD">
        <w:rPr>
          <w:rFonts w:ascii="Verdana" w:eastAsia="Calibri" w:hAnsi="Verdana" w:cs="Arial"/>
          <w:sz w:val="20"/>
          <w:lang w:eastAsia="en-US"/>
        </w:rPr>
        <w:t>Rispetto ai mesi precedenti, a luglio si denota invece un cambio di verso: dopo le diminuzioni rispetto all’anno scorso per i mesi di maggio e giugno, a luglio aumenta la durata media del viaggio da 7,3 a 7,4 notti.</w:t>
      </w:r>
    </w:p>
    <w:p w:rsidR="00B26889" w:rsidRPr="008C66CD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Pr="008C66CD" w:rsidRDefault="00B26889" w:rsidP="00B26889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Default="00B26889" w:rsidP="00B26889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893E02">
        <w:rPr>
          <w:rFonts w:ascii="Verdana" w:eastAsia="Calibri" w:hAnsi="Verdana" w:cs="Arial"/>
          <w:noProof/>
          <w:sz w:val="22"/>
          <w:szCs w:val="22"/>
        </w:rPr>
        <w:drawing>
          <wp:inline distT="0" distB="0" distL="0" distR="0" wp14:anchorId="5BE6CC2B" wp14:editId="403370D4">
            <wp:extent cx="4762500" cy="3028950"/>
            <wp:effectExtent l="19050" t="0" r="19050" b="0"/>
            <wp:docPr id="2" name="Gra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26889" w:rsidRDefault="00B26889" w:rsidP="00B2688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B26889" w:rsidRPr="00B14B3C" w:rsidRDefault="00B26889" w:rsidP="00B26889">
      <w:pPr>
        <w:ind w:left="851" w:right="281"/>
        <w:jc w:val="both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 xml:space="preserve">Fonte: </w:t>
      </w:r>
      <w:r>
        <w:rPr>
          <w:rFonts w:ascii="Verdana" w:eastAsia="Calibri" w:hAnsi="Verdana" w:cs="Arial"/>
          <w:i/>
          <w:sz w:val="20"/>
          <w:lang w:eastAsia="en-US"/>
        </w:rPr>
        <w:t>e</w:t>
      </w:r>
      <w:r w:rsidRPr="00B14B3C">
        <w:rPr>
          <w:rFonts w:ascii="Verdana" w:eastAsia="Calibri" w:hAnsi="Verdana" w:cs="Arial"/>
          <w:i/>
          <w:sz w:val="20"/>
          <w:lang w:eastAsia="en-US"/>
        </w:rPr>
        <w:t>laborazioni Ufficio studi su dati Confturismo-Confcommercio e Istituto Piepoli</w:t>
      </w:r>
    </w:p>
    <w:p w:rsidR="00B26889" w:rsidRDefault="00B26889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B26889" w:rsidRDefault="00B26889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066658" w:rsidRPr="00B26889" w:rsidRDefault="00066658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lastRenderedPageBreak/>
        <w:t>Se l’Italia vede finalmente un’uscita dalla lunga crisi che ha attanagliato il Paese, lo stesso non si può dire della Grecia. Negli ultimi due mesi il paese ellenico è stato al centro dell’attenzione mediatica per via della crisi finanziaria.</w:t>
      </w:r>
    </w:p>
    <w:p w:rsidR="00066658" w:rsidRPr="00B26889" w:rsidRDefault="00C25D12" w:rsidP="007205ED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Per tale motivo</w:t>
      </w:r>
      <w:r w:rsidR="00066658" w:rsidRPr="00B26889">
        <w:rPr>
          <w:rFonts w:ascii="Verdana" w:eastAsia="Calibri" w:hAnsi="Verdana" w:cs="Arial"/>
          <w:sz w:val="20"/>
          <w:lang w:eastAsia="en-US"/>
        </w:rPr>
        <w:t xml:space="preserve"> si registra una minore propensione dei turisti italiani a recarsi in Grecia. Il 22</w:t>
      </w:r>
      <w:r w:rsidR="00B26889">
        <w:rPr>
          <w:rFonts w:ascii="Verdana" w:eastAsia="Calibri" w:hAnsi="Verdana" w:cs="Arial"/>
          <w:sz w:val="20"/>
          <w:lang w:eastAsia="en-US"/>
        </w:rPr>
        <w:t>%</w:t>
      </w:r>
      <w:r w:rsidR="00066658" w:rsidRPr="00B26889">
        <w:rPr>
          <w:rFonts w:ascii="Verdana" w:eastAsia="Calibri" w:hAnsi="Verdana" w:cs="Arial"/>
          <w:sz w:val="20"/>
          <w:lang w:eastAsia="en-US"/>
        </w:rPr>
        <w:t xml:space="preserve"> degli italiani è infatti meno propenso a trascorrere un periodo di vacanza nel paese ellenico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a causa della crisi</w:t>
      </w:r>
      <w:r w:rsidR="008170F0">
        <w:rPr>
          <w:rFonts w:ascii="Verdana" w:eastAsia="Calibri" w:hAnsi="Verdana" w:cs="Arial"/>
          <w:sz w:val="20"/>
          <w:lang w:eastAsia="en-US"/>
        </w:rPr>
        <w:t xml:space="preserve"> e una percentuale analoga (23%) avrebbe qualche timore ad essere in Grecia come turista</w:t>
      </w:r>
      <w:r w:rsidR="00066658" w:rsidRPr="00B26889">
        <w:rPr>
          <w:rFonts w:ascii="Verdana" w:eastAsia="Calibri" w:hAnsi="Verdana" w:cs="Arial"/>
          <w:sz w:val="20"/>
          <w:lang w:eastAsia="en-US"/>
        </w:rPr>
        <w:t>.</w:t>
      </w:r>
      <w:r w:rsidR="008170F0" w:rsidRPr="008170F0">
        <w:rPr>
          <w:rFonts w:ascii="Verdana" w:eastAsia="Calibri" w:hAnsi="Verdana" w:cs="Arial"/>
          <w:sz w:val="20"/>
          <w:lang w:eastAsia="en-US"/>
        </w:rPr>
        <w:t xml:space="preserve"> </w:t>
      </w:r>
      <w:r w:rsidR="008170F0">
        <w:rPr>
          <w:rFonts w:ascii="Verdana" w:eastAsia="Calibri" w:hAnsi="Verdana" w:cs="Arial"/>
          <w:sz w:val="20"/>
          <w:lang w:eastAsia="en-US"/>
        </w:rPr>
        <w:t>Si tratta di una situazione che, tuttavia, non</w:t>
      </w:r>
      <w:r w:rsidR="008170F0" w:rsidRPr="00B26889">
        <w:rPr>
          <w:rFonts w:ascii="Verdana" w:eastAsia="Calibri" w:hAnsi="Verdana" w:cs="Arial"/>
          <w:sz w:val="20"/>
          <w:lang w:eastAsia="en-US"/>
        </w:rPr>
        <w:t xml:space="preserve"> ha </w:t>
      </w:r>
      <w:r w:rsidR="008170F0">
        <w:rPr>
          <w:rFonts w:ascii="Verdana" w:eastAsia="Calibri" w:hAnsi="Verdana" w:cs="Arial"/>
          <w:sz w:val="20"/>
          <w:lang w:eastAsia="en-US"/>
        </w:rPr>
        <w:t>determinato</w:t>
      </w:r>
      <w:r w:rsidR="008170F0" w:rsidRPr="00B26889">
        <w:rPr>
          <w:rFonts w:ascii="Verdana" w:eastAsia="Calibri" w:hAnsi="Verdana" w:cs="Arial"/>
          <w:sz w:val="20"/>
          <w:lang w:eastAsia="en-US"/>
        </w:rPr>
        <w:t xml:space="preserve"> un impatto forte sulle scelte del turista italiano</w:t>
      </w:r>
      <w:r w:rsidR="008170F0">
        <w:rPr>
          <w:rFonts w:ascii="Verdana" w:eastAsia="Calibri" w:hAnsi="Verdana" w:cs="Arial"/>
          <w:sz w:val="20"/>
          <w:lang w:eastAsia="en-US"/>
        </w:rPr>
        <w:t>.</w:t>
      </w:r>
    </w:p>
    <w:p w:rsidR="00B26889" w:rsidRDefault="00B26889" w:rsidP="007205ED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066658" w:rsidRDefault="00066658" w:rsidP="00C25D12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066658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29" type="#_x0000_t75" style="width:5in;height:270pt" o:ole="">
            <v:imagedata r:id="rId19" o:title=""/>
          </v:shape>
          <o:OLEObject Type="Embed" ProgID="PowerPoint.Slide.12" ShapeID="_x0000_i1029" DrawAspect="Content" ObjectID="_1500211979" r:id="rId20"/>
        </w:object>
      </w:r>
    </w:p>
    <w:p w:rsidR="00066658" w:rsidRPr="00B14B3C" w:rsidRDefault="00066658" w:rsidP="00B14B3C">
      <w:pPr>
        <w:ind w:right="281" w:hanging="1134"/>
        <w:jc w:val="center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2124B6" w:rsidRPr="00B26889" w:rsidRDefault="002124B6" w:rsidP="00561DEC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3351DC" w:rsidRDefault="002124B6" w:rsidP="00D01061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EXPO</w:t>
      </w:r>
      <w:r w:rsidR="00D01061" w:rsidRPr="00B26889">
        <w:rPr>
          <w:rFonts w:ascii="Verdana" w:eastAsia="Calibri" w:hAnsi="Verdana" w:cs="Arial"/>
          <w:sz w:val="20"/>
          <w:lang w:eastAsia="en-US"/>
        </w:rPr>
        <w:t>, al contrario,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rimane un motore per la crescita del turismo in Italia.</w:t>
      </w:r>
      <w:r w:rsidR="00683685" w:rsidRPr="00B26889">
        <w:rPr>
          <w:rFonts w:ascii="Verdana" w:eastAsia="Calibri" w:hAnsi="Verdana" w:cs="Arial"/>
          <w:sz w:val="20"/>
          <w:lang w:eastAsia="en-US"/>
        </w:rPr>
        <w:t xml:space="preserve"> Oltre un </w:t>
      </w:r>
      <w:r w:rsidR="008170F0">
        <w:rPr>
          <w:rFonts w:ascii="Verdana" w:eastAsia="Calibri" w:hAnsi="Verdana" w:cs="Arial"/>
          <w:sz w:val="20"/>
          <w:lang w:eastAsia="en-US"/>
        </w:rPr>
        <w:t>i</w:t>
      </w:r>
      <w:r w:rsidR="007205ED" w:rsidRPr="00B26889">
        <w:rPr>
          <w:rFonts w:ascii="Verdana" w:eastAsia="Calibri" w:hAnsi="Verdana" w:cs="Arial"/>
          <w:sz w:val="20"/>
          <w:lang w:eastAsia="en-US"/>
        </w:rPr>
        <w:t>taliano su due ha intenzione di recarsi a visitare il sito espositivo milanese nei prossimi mesi</w:t>
      </w:r>
      <w:r w:rsidR="00D01061" w:rsidRPr="00B26889">
        <w:rPr>
          <w:rFonts w:ascii="Verdana" w:eastAsia="Calibri" w:hAnsi="Verdana" w:cs="Arial"/>
          <w:sz w:val="20"/>
          <w:lang w:eastAsia="en-US"/>
        </w:rPr>
        <w:t>, mentre quasi 7 italiani su dieci credono che l’evento possa portare nuovo turismo in Italia.</w:t>
      </w:r>
    </w:p>
    <w:p w:rsidR="007205ED" w:rsidRPr="00B26889" w:rsidRDefault="00ED6F5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Rima</w:t>
      </w:r>
      <w:r w:rsidR="00683685" w:rsidRPr="00B26889">
        <w:rPr>
          <w:rFonts w:ascii="Verdana" w:eastAsia="Calibri" w:hAnsi="Verdana" w:cs="Arial"/>
          <w:sz w:val="20"/>
          <w:lang w:eastAsia="en-US"/>
        </w:rPr>
        <w:t>ne molto elevat</w:t>
      </w:r>
      <w:r w:rsidR="008170F0">
        <w:rPr>
          <w:rFonts w:ascii="Verdana" w:eastAsia="Calibri" w:hAnsi="Verdana" w:cs="Arial"/>
          <w:sz w:val="20"/>
          <w:lang w:eastAsia="en-US"/>
        </w:rPr>
        <w:t>a</w:t>
      </w:r>
      <w:r w:rsidR="00683685" w:rsidRPr="00B26889">
        <w:rPr>
          <w:rFonts w:ascii="Verdana" w:eastAsia="Calibri" w:hAnsi="Verdana" w:cs="Arial"/>
          <w:sz w:val="20"/>
          <w:lang w:eastAsia="en-US"/>
        </w:rPr>
        <w:t xml:space="preserve"> </w:t>
      </w:r>
      <w:r w:rsidR="008170F0">
        <w:rPr>
          <w:rFonts w:ascii="Verdana" w:eastAsia="Calibri" w:hAnsi="Verdana" w:cs="Arial"/>
          <w:sz w:val="20"/>
          <w:lang w:eastAsia="en-US"/>
        </w:rPr>
        <w:t>la quota di</w:t>
      </w:r>
      <w:r w:rsidR="00683685" w:rsidRPr="00B26889">
        <w:rPr>
          <w:rFonts w:ascii="Verdana" w:eastAsia="Calibri" w:hAnsi="Verdana" w:cs="Arial"/>
          <w:sz w:val="20"/>
          <w:lang w:eastAsia="en-US"/>
        </w:rPr>
        <w:t xml:space="preserve"> </w:t>
      </w:r>
      <w:r w:rsidR="008170F0">
        <w:rPr>
          <w:rFonts w:ascii="Verdana" w:eastAsia="Calibri" w:hAnsi="Verdana" w:cs="Arial"/>
          <w:sz w:val="20"/>
          <w:lang w:eastAsia="en-US"/>
        </w:rPr>
        <w:t>i</w:t>
      </w:r>
      <w:r w:rsidRPr="00B26889">
        <w:rPr>
          <w:rFonts w:ascii="Verdana" w:eastAsia="Calibri" w:hAnsi="Verdana" w:cs="Arial"/>
          <w:sz w:val="20"/>
          <w:lang w:eastAsia="en-US"/>
        </w:rPr>
        <w:t>taliani che ha</w:t>
      </w:r>
      <w:r w:rsidR="00683685" w:rsidRPr="00B26889">
        <w:rPr>
          <w:rFonts w:ascii="Verdana" w:eastAsia="Calibri" w:hAnsi="Verdana" w:cs="Arial"/>
          <w:sz w:val="20"/>
          <w:lang w:eastAsia="en-US"/>
        </w:rPr>
        <w:t>nno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intenzione di trascorrere le proprie vacanze nei prossimi tre mesi in Italia. Quasi otto su dieci pensano di restare nel Bel Paese per fare turismo.</w:t>
      </w:r>
    </w:p>
    <w:p w:rsidR="004A3867" w:rsidRPr="00B26889" w:rsidRDefault="004A3867" w:rsidP="004A3867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4A3867" w:rsidRDefault="00D01061" w:rsidP="003351DC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D01061">
        <w:rPr>
          <w:rFonts w:ascii="Verdana" w:eastAsia="Calibri" w:hAnsi="Verdana" w:cs="Arial"/>
          <w:sz w:val="22"/>
          <w:szCs w:val="22"/>
          <w:lang w:eastAsia="en-US"/>
        </w:rPr>
        <w:object w:dxaOrig="7202" w:dyaOrig="5398">
          <v:shape id="_x0000_i1030" type="#_x0000_t75" style="width:5in;height:270pt" o:ole="">
            <v:imagedata r:id="rId21" o:title=""/>
          </v:shape>
          <o:OLEObject Type="Embed" ProgID="PowerPoint.Slide.12" ShapeID="_x0000_i1030" DrawAspect="Content" ObjectID="_1500211980" r:id="rId22"/>
        </w:object>
      </w:r>
    </w:p>
    <w:p w:rsidR="004A3867" w:rsidRPr="00B14B3C" w:rsidRDefault="004A3867" w:rsidP="00B14B3C">
      <w:pPr>
        <w:ind w:right="281" w:firstLine="1134"/>
        <w:rPr>
          <w:rFonts w:ascii="Verdana" w:eastAsia="Calibri" w:hAnsi="Verdana" w:cs="Arial"/>
          <w:i/>
          <w:sz w:val="20"/>
          <w:lang w:eastAsia="en-US"/>
        </w:rPr>
      </w:pPr>
      <w:r w:rsidRPr="00B14B3C">
        <w:rPr>
          <w:rFonts w:ascii="Verdana" w:eastAsia="Calibri" w:hAnsi="Verdana" w:cs="Arial"/>
          <w:i/>
          <w:sz w:val="20"/>
          <w:lang w:eastAsia="en-US"/>
        </w:rPr>
        <w:t>Fonte: Confturismo-Confcommercio e Istituto Piepoli</w:t>
      </w:r>
    </w:p>
    <w:p w:rsidR="004A3867" w:rsidRPr="00D96270" w:rsidRDefault="004A3867" w:rsidP="004A3867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4A3867" w:rsidRPr="00B26889" w:rsidRDefault="00ED6F58" w:rsidP="004A3867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 xml:space="preserve">Per i prossimi mesi la destinazione preferita a livello </w:t>
      </w:r>
      <w:r w:rsidR="005169E2" w:rsidRPr="00B26889">
        <w:rPr>
          <w:rFonts w:ascii="Verdana" w:eastAsia="Calibri" w:hAnsi="Verdana" w:cs="Arial"/>
          <w:sz w:val="20"/>
          <w:lang w:eastAsia="en-US"/>
        </w:rPr>
        <w:t>nazionale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è</w:t>
      </w:r>
      <w:r w:rsidR="00010FFE" w:rsidRPr="00B26889">
        <w:rPr>
          <w:rFonts w:ascii="Verdana" w:eastAsia="Calibri" w:hAnsi="Verdana" w:cs="Arial"/>
          <w:sz w:val="20"/>
          <w:lang w:eastAsia="en-US"/>
        </w:rPr>
        <w:t xml:space="preserve"> il Trentino Alto Adige, seguito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dalla Puglia e Toscana.</w:t>
      </w:r>
      <w:r w:rsidR="004A3867" w:rsidRPr="00B26889">
        <w:rPr>
          <w:rFonts w:ascii="Verdana" w:eastAsia="Calibri" w:hAnsi="Verdana" w:cs="Arial"/>
          <w:sz w:val="20"/>
          <w:lang w:eastAsia="en-US"/>
        </w:rPr>
        <w:t xml:space="preserve"> </w:t>
      </w:r>
    </w:p>
    <w:p w:rsidR="004A3867" w:rsidRPr="00B26889" w:rsidRDefault="005169E2" w:rsidP="004A3867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In Europa</w:t>
      </w:r>
      <w:r w:rsidR="003351DC" w:rsidRPr="00B26889">
        <w:rPr>
          <w:rFonts w:ascii="Verdana" w:eastAsia="Calibri" w:hAnsi="Verdana" w:cs="Arial"/>
          <w:sz w:val="20"/>
          <w:lang w:eastAsia="en-US"/>
        </w:rPr>
        <w:t xml:space="preserve"> la </w:t>
      </w:r>
      <w:r w:rsidR="00ED6F58" w:rsidRPr="00B26889">
        <w:rPr>
          <w:rFonts w:ascii="Verdana" w:eastAsia="Calibri" w:hAnsi="Verdana" w:cs="Arial"/>
          <w:sz w:val="20"/>
          <w:lang w:eastAsia="en-US"/>
        </w:rPr>
        <w:t xml:space="preserve">Spagna rimane in posizione di </w:t>
      </w:r>
      <w:r w:rsidR="00670676" w:rsidRPr="00B26889">
        <w:rPr>
          <w:rFonts w:ascii="Verdana" w:eastAsia="Calibri" w:hAnsi="Verdana" w:cs="Arial"/>
          <w:sz w:val="20"/>
          <w:lang w:eastAsia="en-US"/>
        </w:rPr>
        <w:t>leadership</w:t>
      </w:r>
      <w:r w:rsidR="004A3867" w:rsidRPr="00B26889">
        <w:rPr>
          <w:rFonts w:ascii="Verdana" w:eastAsia="Calibri" w:hAnsi="Verdana" w:cs="Arial"/>
          <w:sz w:val="20"/>
          <w:lang w:eastAsia="en-US"/>
        </w:rPr>
        <w:t xml:space="preserve">, </w:t>
      </w:r>
      <w:r w:rsidR="00ED6F58" w:rsidRPr="00B26889">
        <w:rPr>
          <w:rFonts w:ascii="Verdana" w:eastAsia="Calibri" w:hAnsi="Verdana" w:cs="Arial"/>
          <w:sz w:val="20"/>
          <w:lang w:eastAsia="en-US"/>
        </w:rPr>
        <w:t>davanti alla Croazia</w:t>
      </w:r>
      <w:r w:rsidR="00670676" w:rsidRPr="00B26889">
        <w:rPr>
          <w:rFonts w:ascii="Verdana" w:eastAsia="Calibri" w:hAnsi="Verdana" w:cs="Arial"/>
          <w:sz w:val="20"/>
          <w:lang w:eastAsia="en-US"/>
        </w:rPr>
        <w:t xml:space="preserve">. La Grecia </w:t>
      </w:r>
      <w:r w:rsidRPr="00B26889">
        <w:rPr>
          <w:rFonts w:ascii="Verdana" w:eastAsia="Calibri" w:hAnsi="Verdana" w:cs="Arial"/>
          <w:sz w:val="20"/>
          <w:lang w:eastAsia="en-US"/>
        </w:rPr>
        <w:t>è</w:t>
      </w:r>
      <w:r w:rsidR="00ED6F58" w:rsidRPr="00B26889">
        <w:rPr>
          <w:rFonts w:ascii="Verdana" w:eastAsia="Calibri" w:hAnsi="Verdana" w:cs="Arial"/>
          <w:sz w:val="20"/>
          <w:lang w:eastAsia="en-US"/>
        </w:rPr>
        <w:t xml:space="preserve"> </w:t>
      </w:r>
      <w:r w:rsidR="00670676" w:rsidRPr="00B26889">
        <w:rPr>
          <w:rFonts w:ascii="Verdana" w:eastAsia="Calibri" w:hAnsi="Verdana" w:cs="Arial"/>
          <w:sz w:val="20"/>
          <w:lang w:eastAsia="en-US"/>
        </w:rPr>
        <w:t>in terza posizione</w:t>
      </w:r>
      <w:r w:rsidR="00ED6F58" w:rsidRPr="00B26889">
        <w:rPr>
          <w:rFonts w:ascii="Verdana" w:eastAsia="Calibri" w:hAnsi="Verdana" w:cs="Arial"/>
          <w:sz w:val="20"/>
          <w:lang w:eastAsia="en-US"/>
        </w:rPr>
        <w:t>, davanti a Francia e Germania.</w:t>
      </w:r>
      <w:r w:rsidRPr="00B26889">
        <w:rPr>
          <w:rFonts w:ascii="Verdana" w:eastAsia="Calibri" w:hAnsi="Verdana" w:cs="Arial"/>
          <w:sz w:val="20"/>
          <w:lang w:eastAsia="en-US"/>
        </w:rPr>
        <w:t xml:space="preserve"> </w:t>
      </w:r>
      <w:r w:rsidR="004A3867" w:rsidRPr="00B26889">
        <w:rPr>
          <w:rFonts w:ascii="Verdana" w:eastAsia="Calibri" w:hAnsi="Verdana" w:cs="Arial"/>
          <w:sz w:val="20"/>
          <w:lang w:eastAsia="en-US"/>
        </w:rPr>
        <w:t xml:space="preserve">A livello di </w:t>
      </w:r>
      <w:r w:rsidR="005462BC" w:rsidRPr="00B26889">
        <w:rPr>
          <w:rFonts w:ascii="Verdana" w:eastAsia="Calibri" w:hAnsi="Verdana" w:cs="Arial"/>
          <w:sz w:val="20"/>
          <w:lang w:eastAsia="en-US"/>
        </w:rPr>
        <w:t>destinazioni</w:t>
      </w:r>
      <w:r w:rsidR="004A3867" w:rsidRPr="00B26889">
        <w:rPr>
          <w:rFonts w:ascii="Verdana" w:eastAsia="Calibri" w:hAnsi="Verdana" w:cs="Arial"/>
          <w:sz w:val="20"/>
          <w:lang w:eastAsia="en-US"/>
        </w:rPr>
        <w:t xml:space="preserve"> extra-europee, gli Stati Uniti </w:t>
      </w:r>
      <w:r w:rsidR="00670676" w:rsidRPr="00B26889">
        <w:rPr>
          <w:rFonts w:ascii="Verdana" w:eastAsia="Calibri" w:hAnsi="Verdana" w:cs="Arial"/>
          <w:sz w:val="20"/>
          <w:lang w:eastAsia="en-US"/>
        </w:rPr>
        <w:t>rimangono la meta pr</w:t>
      </w:r>
      <w:r w:rsidR="00ED6F58" w:rsidRPr="00B26889">
        <w:rPr>
          <w:rFonts w:ascii="Verdana" w:eastAsia="Calibri" w:hAnsi="Verdana" w:cs="Arial"/>
          <w:sz w:val="20"/>
          <w:lang w:eastAsia="en-US"/>
        </w:rPr>
        <w:t>eferita, davanti al Nord Africa. Le Maldive conquistano la terza posizione.</w:t>
      </w:r>
    </w:p>
    <w:p w:rsidR="00B16DE8" w:rsidRPr="00B26889" w:rsidRDefault="00ED6F5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  <w:r w:rsidRPr="00B26889">
        <w:rPr>
          <w:rFonts w:ascii="Verdana" w:eastAsia="Calibri" w:hAnsi="Verdana" w:cs="Arial"/>
          <w:sz w:val="20"/>
          <w:lang w:eastAsia="en-US"/>
        </w:rPr>
        <w:t>Continua ad aumentare</w:t>
      </w:r>
      <w:r w:rsidR="00B16DE8" w:rsidRPr="00B26889">
        <w:rPr>
          <w:rFonts w:ascii="Verdana" w:eastAsia="Calibri" w:hAnsi="Verdana" w:cs="Arial"/>
          <w:sz w:val="20"/>
          <w:lang w:eastAsia="en-US"/>
        </w:rPr>
        <w:t xml:space="preserve"> la</w:t>
      </w:r>
      <w:r w:rsidR="005169E2" w:rsidRPr="00B26889">
        <w:rPr>
          <w:rFonts w:ascii="Verdana" w:eastAsia="Calibri" w:hAnsi="Verdana" w:cs="Arial"/>
          <w:sz w:val="20"/>
          <w:lang w:eastAsia="en-US"/>
        </w:rPr>
        <w:t xml:space="preserve"> propensione a viaggiare degli I</w:t>
      </w:r>
      <w:r w:rsidR="00B16DE8" w:rsidRPr="00B26889">
        <w:rPr>
          <w:rFonts w:ascii="Verdana" w:eastAsia="Calibri" w:hAnsi="Verdana" w:cs="Arial"/>
          <w:sz w:val="20"/>
          <w:lang w:eastAsia="en-US"/>
        </w:rPr>
        <w:t>taliani nei prossimi tre mesi</w:t>
      </w:r>
      <w:r w:rsidRPr="00B26889">
        <w:rPr>
          <w:rFonts w:ascii="Verdana" w:eastAsia="Calibri" w:hAnsi="Verdana" w:cs="Arial"/>
          <w:sz w:val="20"/>
          <w:lang w:eastAsia="en-US"/>
        </w:rPr>
        <w:t>.</w:t>
      </w:r>
    </w:p>
    <w:p w:rsidR="00B16DE8" w:rsidRPr="00B26889" w:rsidRDefault="00B16DE8" w:rsidP="00D2527F">
      <w:pPr>
        <w:ind w:right="281"/>
        <w:jc w:val="both"/>
        <w:rPr>
          <w:rFonts w:ascii="Verdana" w:eastAsia="Calibri" w:hAnsi="Verdana" w:cs="Arial"/>
          <w:sz w:val="20"/>
          <w:lang w:eastAsia="en-US"/>
        </w:rPr>
      </w:pPr>
    </w:p>
    <w:p w:rsidR="00E0442E" w:rsidRPr="00B26889" w:rsidRDefault="00E0442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E0442E" w:rsidRPr="00B26889" w:rsidRDefault="00E0442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010FFE" w:rsidRPr="00B26889" w:rsidRDefault="00010FF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010FFE" w:rsidRDefault="00010FFE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8C66CD" w:rsidRPr="00B26889" w:rsidRDefault="008C66CD" w:rsidP="00D2527F">
      <w:pPr>
        <w:pStyle w:val="NormaleWeb"/>
        <w:shd w:val="clear" w:color="auto" w:fill="FFFFFF"/>
        <w:spacing w:before="0" w:after="0"/>
        <w:ind w:right="281"/>
        <w:jc w:val="both"/>
        <w:rPr>
          <w:rFonts w:ascii="Verdana" w:hAnsi="Verdana" w:cs="Arial"/>
          <w:sz w:val="20"/>
          <w:szCs w:val="20"/>
        </w:rPr>
      </w:pPr>
    </w:p>
    <w:p w:rsidR="00010FFE" w:rsidRPr="00B26889" w:rsidRDefault="00010FFE" w:rsidP="00F304A2">
      <w:pPr>
        <w:pStyle w:val="NormaleWeb"/>
        <w:shd w:val="clear" w:color="auto" w:fill="FFFFFF"/>
        <w:spacing w:before="0" w:after="0"/>
        <w:ind w:right="284"/>
        <w:jc w:val="both"/>
        <w:rPr>
          <w:rFonts w:ascii="Verdana" w:hAnsi="Verdana" w:cs="Arial"/>
          <w:sz w:val="20"/>
          <w:szCs w:val="20"/>
        </w:rPr>
      </w:pPr>
    </w:p>
    <w:p w:rsidR="00057EA4" w:rsidRPr="00F304A2" w:rsidRDefault="00B14B3C" w:rsidP="00F304A2">
      <w:pPr>
        <w:pStyle w:val="NormaleWeb"/>
        <w:shd w:val="clear" w:color="auto" w:fill="FFFFFF"/>
        <w:spacing w:before="0" w:after="0"/>
        <w:ind w:right="284"/>
        <w:jc w:val="both"/>
        <w:rPr>
          <w:rFonts w:ascii="Verdana" w:hAnsi="Verdana" w:cs="Arial"/>
          <w:sz w:val="18"/>
          <w:szCs w:val="18"/>
        </w:rPr>
      </w:pPr>
      <w:r w:rsidRPr="00F304A2">
        <w:rPr>
          <w:rFonts w:ascii="Verdana" w:hAnsi="Verdana" w:cs="Arial"/>
          <w:sz w:val="18"/>
          <w:szCs w:val="18"/>
        </w:rPr>
        <w:t>_________________________________</w:t>
      </w:r>
    </w:p>
    <w:p w:rsidR="00057EA4" w:rsidRPr="00F304A2" w:rsidRDefault="00057EA4" w:rsidP="00F304A2">
      <w:pPr>
        <w:pStyle w:val="NormaleWeb"/>
        <w:shd w:val="clear" w:color="auto" w:fill="FFFFFF"/>
        <w:spacing w:before="0" w:after="0"/>
        <w:ind w:right="284"/>
        <w:jc w:val="both"/>
        <w:rPr>
          <w:rFonts w:ascii="Verdana" w:hAnsi="Verdana" w:cs="Arial"/>
          <w:sz w:val="18"/>
          <w:szCs w:val="18"/>
        </w:rPr>
      </w:pPr>
    </w:p>
    <w:p w:rsidR="00057EA4" w:rsidRPr="00F304A2" w:rsidRDefault="00057EA4" w:rsidP="00F304A2">
      <w:pPr>
        <w:pStyle w:val="NormaleWeb"/>
        <w:shd w:val="clear" w:color="auto" w:fill="FFFFFF"/>
        <w:spacing w:before="0" w:after="0"/>
        <w:ind w:right="284"/>
        <w:jc w:val="both"/>
        <w:rPr>
          <w:rFonts w:ascii="Verdana" w:hAnsi="Verdana" w:cs="Arial"/>
          <w:b/>
          <w:sz w:val="18"/>
          <w:szCs w:val="18"/>
        </w:rPr>
      </w:pPr>
      <w:r w:rsidRPr="00F304A2">
        <w:rPr>
          <w:rFonts w:ascii="Verdana" w:hAnsi="Verdana" w:cs="Arial"/>
          <w:b/>
          <w:sz w:val="18"/>
          <w:szCs w:val="18"/>
        </w:rPr>
        <w:t>Nota Metodologica</w:t>
      </w:r>
    </w:p>
    <w:p w:rsidR="00BE5261" w:rsidRPr="00F304A2" w:rsidRDefault="004F0E39" w:rsidP="00F304A2">
      <w:pPr>
        <w:pStyle w:val="NormaleWeb"/>
        <w:shd w:val="clear" w:color="auto" w:fill="FFFFFF"/>
        <w:spacing w:before="0" w:after="0"/>
        <w:ind w:right="284"/>
        <w:jc w:val="both"/>
        <w:rPr>
          <w:rFonts w:ascii="Verdana" w:hAnsi="Verdana" w:cs="Arial"/>
          <w:sz w:val="18"/>
          <w:szCs w:val="18"/>
        </w:rPr>
      </w:pPr>
      <w:r w:rsidRPr="00F304A2">
        <w:rPr>
          <w:rFonts w:ascii="Verdana" w:hAnsi="Verdana" w:cs="Arial"/>
          <w:sz w:val="18"/>
          <w:szCs w:val="18"/>
        </w:rPr>
        <w:t xml:space="preserve">L’indagine che presentiamo è stata eseguita fra </w:t>
      </w:r>
      <w:r w:rsidRPr="00F304A2">
        <w:rPr>
          <w:rFonts w:ascii="Verdana" w:hAnsi="Verdana" w:cs="Arial"/>
          <w:bCs/>
          <w:sz w:val="18"/>
          <w:szCs w:val="18"/>
        </w:rPr>
        <w:t xml:space="preserve">il 20 e il 25 luglio 2015 </w:t>
      </w:r>
      <w:r w:rsidRPr="00F304A2">
        <w:rPr>
          <w:rFonts w:ascii="Verdana" w:hAnsi="Verdana" w:cs="Arial"/>
          <w:sz w:val="18"/>
          <w:szCs w:val="18"/>
        </w:rPr>
        <w:t xml:space="preserve">con </w:t>
      </w:r>
      <w:r w:rsidRPr="00F304A2">
        <w:rPr>
          <w:rFonts w:ascii="Verdana" w:hAnsi="Verdana" w:cs="Arial"/>
          <w:bCs/>
          <w:sz w:val="18"/>
          <w:szCs w:val="18"/>
        </w:rPr>
        <w:t xml:space="preserve">metodologia CATI/CAWI </w:t>
      </w:r>
      <w:r w:rsidRPr="00F304A2">
        <w:rPr>
          <w:rFonts w:ascii="Verdana" w:hAnsi="Verdana" w:cs="Arial"/>
          <w:sz w:val="18"/>
          <w:szCs w:val="18"/>
        </w:rPr>
        <w:t xml:space="preserve">su un campione di </w:t>
      </w:r>
      <w:r w:rsidRPr="00F304A2">
        <w:rPr>
          <w:rFonts w:ascii="Verdana" w:hAnsi="Verdana" w:cs="Arial"/>
          <w:bCs/>
          <w:sz w:val="18"/>
          <w:szCs w:val="18"/>
        </w:rPr>
        <w:t>1.000 casi</w:t>
      </w:r>
      <w:r w:rsidRPr="00F304A2">
        <w:rPr>
          <w:rFonts w:ascii="Verdana" w:hAnsi="Verdana" w:cs="Arial"/>
          <w:sz w:val="18"/>
          <w:szCs w:val="18"/>
        </w:rPr>
        <w:t xml:space="preserve"> rappresentativo della popolazione residente in Italia dai 18 ai 74 anni, segmentato per sesso, classe di età, Ampiezz</w:t>
      </w:r>
      <w:bookmarkStart w:id="0" w:name="_GoBack"/>
      <w:bookmarkEnd w:id="0"/>
      <w:r w:rsidRPr="00F304A2">
        <w:rPr>
          <w:rFonts w:ascii="Verdana" w:hAnsi="Verdana" w:cs="Arial"/>
          <w:sz w:val="18"/>
          <w:szCs w:val="18"/>
        </w:rPr>
        <w:t>a Centri e GRG (Grandi Ripartizioni Geografiche).</w:t>
      </w:r>
    </w:p>
    <w:sectPr w:rsidR="00BE5261" w:rsidRPr="00F304A2" w:rsidSect="006F3292">
      <w:footerReference w:type="even" r:id="rId23"/>
      <w:footerReference w:type="default" r:id="rId24"/>
      <w:pgSz w:w="11906" w:h="16838"/>
      <w:pgMar w:top="1134" w:right="1134" w:bottom="709" w:left="1134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E39" w:rsidRDefault="004F0E39">
      <w:r>
        <w:separator/>
      </w:r>
    </w:p>
  </w:endnote>
  <w:endnote w:type="continuationSeparator" w:id="0">
    <w:p w:rsidR="004F0E39" w:rsidRDefault="004F0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491502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491502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184557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E39" w:rsidRDefault="004F0E39">
      <w:r>
        <w:separator/>
      </w:r>
    </w:p>
  </w:footnote>
  <w:footnote w:type="continuationSeparator" w:id="0">
    <w:p w:rsidR="004F0E39" w:rsidRDefault="004F0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.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14"/>
  </w:num>
  <w:num w:numId="5">
    <w:abstractNumId w:val="5"/>
  </w:num>
  <w:num w:numId="6">
    <w:abstractNumId w:val="8"/>
  </w:num>
  <w:num w:numId="7">
    <w:abstractNumId w:val="11"/>
  </w:num>
  <w:num w:numId="8">
    <w:abstractNumId w:val="6"/>
  </w:num>
  <w:num w:numId="9">
    <w:abstractNumId w:val="12"/>
  </w:num>
  <w:num w:numId="10">
    <w:abstractNumId w:val="13"/>
  </w:num>
  <w:num w:numId="11">
    <w:abstractNumId w:val="0"/>
  </w:num>
  <w:num w:numId="12">
    <w:abstractNumId w:val="10"/>
  </w:num>
  <w:num w:numId="13">
    <w:abstractNumId w:val="15"/>
  </w:num>
  <w:num w:numId="14">
    <w:abstractNumId w:val="1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10FFE"/>
    <w:rsid w:val="00011552"/>
    <w:rsid w:val="0001739D"/>
    <w:rsid w:val="00025A3D"/>
    <w:rsid w:val="000332D0"/>
    <w:rsid w:val="00040445"/>
    <w:rsid w:val="00042226"/>
    <w:rsid w:val="0005055B"/>
    <w:rsid w:val="0005271C"/>
    <w:rsid w:val="00052C47"/>
    <w:rsid w:val="00057EA4"/>
    <w:rsid w:val="00063570"/>
    <w:rsid w:val="00065B9E"/>
    <w:rsid w:val="00066528"/>
    <w:rsid w:val="00066658"/>
    <w:rsid w:val="000800D6"/>
    <w:rsid w:val="00095118"/>
    <w:rsid w:val="000956C6"/>
    <w:rsid w:val="000A5E2E"/>
    <w:rsid w:val="000B2A8E"/>
    <w:rsid w:val="000C4760"/>
    <w:rsid w:val="000D02C3"/>
    <w:rsid w:val="000D0F58"/>
    <w:rsid w:val="000E245E"/>
    <w:rsid w:val="000E5389"/>
    <w:rsid w:val="000F0623"/>
    <w:rsid w:val="000F19AE"/>
    <w:rsid w:val="00103195"/>
    <w:rsid w:val="00103C03"/>
    <w:rsid w:val="00107BBB"/>
    <w:rsid w:val="001225F9"/>
    <w:rsid w:val="00124E9D"/>
    <w:rsid w:val="001257A5"/>
    <w:rsid w:val="00131148"/>
    <w:rsid w:val="00131A9B"/>
    <w:rsid w:val="00131CFB"/>
    <w:rsid w:val="00143F99"/>
    <w:rsid w:val="00144C6A"/>
    <w:rsid w:val="00162C05"/>
    <w:rsid w:val="00166854"/>
    <w:rsid w:val="001714F1"/>
    <w:rsid w:val="00175025"/>
    <w:rsid w:val="00181B14"/>
    <w:rsid w:val="00184557"/>
    <w:rsid w:val="00186AA5"/>
    <w:rsid w:val="0019543F"/>
    <w:rsid w:val="001B1D2C"/>
    <w:rsid w:val="001B31C3"/>
    <w:rsid w:val="001C0A6C"/>
    <w:rsid w:val="001C292E"/>
    <w:rsid w:val="001D3F9C"/>
    <w:rsid w:val="001D79DE"/>
    <w:rsid w:val="001D7BDA"/>
    <w:rsid w:val="001E3387"/>
    <w:rsid w:val="001F1EFA"/>
    <w:rsid w:val="001F2B32"/>
    <w:rsid w:val="00201C4D"/>
    <w:rsid w:val="002039E6"/>
    <w:rsid w:val="002100B3"/>
    <w:rsid w:val="002124B6"/>
    <w:rsid w:val="00223875"/>
    <w:rsid w:val="00235DB7"/>
    <w:rsid w:val="00235E06"/>
    <w:rsid w:val="00236EAD"/>
    <w:rsid w:val="00243507"/>
    <w:rsid w:val="0024422E"/>
    <w:rsid w:val="0024444E"/>
    <w:rsid w:val="00270F48"/>
    <w:rsid w:val="00271373"/>
    <w:rsid w:val="00277245"/>
    <w:rsid w:val="00283E77"/>
    <w:rsid w:val="002A31A8"/>
    <w:rsid w:val="002A4F38"/>
    <w:rsid w:val="002A50A9"/>
    <w:rsid w:val="002A5F21"/>
    <w:rsid w:val="002B003F"/>
    <w:rsid w:val="002B389A"/>
    <w:rsid w:val="002C3484"/>
    <w:rsid w:val="002D3F5D"/>
    <w:rsid w:val="002E6349"/>
    <w:rsid w:val="002E6C6A"/>
    <w:rsid w:val="002F13F0"/>
    <w:rsid w:val="002F3FA0"/>
    <w:rsid w:val="002F5126"/>
    <w:rsid w:val="002F589D"/>
    <w:rsid w:val="002F7B56"/>
    <w:rsid w:val="00304A96"/>
    <w:rsid w:val="0032073A"/>
    <w:rsid w:val="003268FC"/>
    <w:rsid w:val="0033097E"/>
    <w:rsid w:val="003351DC"/>
    <w:rsid w:val="003354CF"/>
    <w:rsid w:val="003605EE"/>
    <w:rsid w:val="003656CC"/>
    <w:rsid w:val="00380141"/>
    <w:rsid w:val="00392C4F"/>
    <w:rsid w:val="00393302"/>
    <w:rsid w:val="0039502F"/>
    <w:rsid w:val="003A56DE"/>
    <w:rsid w:val="003C4723"/>
    <w:rsid w:val="003E345D"/>
    <w:rsid w:val="003E34B3"/>
    <w:rsid w:val="003E67B7"/>
    <w:rsid w:val="0040414A"/>
    <w:rsid w:val="00404399"/>
    <w:rsid w:val="00412F6B"/>
    <w:rsid w:val="00420B12"/>
    <w:rsid w:val="0043335F"/>
    <w:rsid w:val="00433730"/>
    <w:rsid w:val="00453E1F"/>
    <w:rsid w:val="0046724C"/>
    <w:rsid w:val="00467B36"/>
    <w:rsid w:val="00470D37"/>
    <w:rsid w:val="0048330E"/>
    <w:rsid w:val="00484AA2"/>
    <w:rsid w:val="00491502"/>
    <w:rsid w:val="00492A99"/>
    <w:rsid w:val="00495979"/>
    <w:rsid w:val="004A1BC5"/>
    <w:rsid w:val="004A3867"/>
    <w:rsid w:val="004A784E"/>
    <w:rsid w:val="004B46AF"/>
    <w:rsid w:val="004D2B46"/>
    <w:rsid w:val="004F0E39"/>
    <w:rsid w:val="004F1D4B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62BC"/>
    <w:rsid w:val="00561688"/>
    <w:rsid w:val="00561DEC"/>
    <w:rsid w:val="00570E7D"/>
    <w:rsid w:val="00586976"/>
    <w:rsid w:val="00586D3A"/>
    <w:rsid w:val="00586D4A"/>
    <w:rsid w:val="00594F6E"/>
    <w:rsid w:val="005A00F6"/>
    <w:rsid w:val="005A09E9"/>
    <w:rsid w:val="005B10E9"/>
    <w:rsid w:val="005C0F4D"/>
    <w:rsid w:val="005C5CC8"/>
    <w:rsid w:val="005D2419"/>
    <w:rsid w:val="005E0589"/>
    <w:rsid w:val="005E7AFA"/>
    <w:rsid w:val="005F0813"/>
    <w:rsid w:val="006029CF"/>
    <w:rsid w:val="00604403"/>
    <w:rsid w:val="00605BC9"/>
    <w:rsid w:val="00607911"/>
    <w:rsid w:val="00612789"/>
    <w:rsid w:val="00612A6E"/>
    <w:rsid w:val="00613D15"/>
    <w:rsid w:val="00615922"/>
    <w:rsid w:val="006174C8"/>
    <w:rsid w:val="006368B9"/>
    <w:rsid w:val="00640BD5"/>
    <w:rsid w:val="00641E6A"/>
    <w:rsid w:val="0064389D"/>
    <w:rsid w:val="00647F12"/>
    <w:rsid w:val="006608B2"/>
    <w:rsid w:val="00663453"/>
    <w:rsid w:val="00666CA5"/>
    <w:rsid w:val="00670676"/>
    <w:rsid w:val="0068169C"/>
    <w:rsid w:val="00681764"/>
    <w:rsid w:val="00682808"/>
    <w:rsid w:val="00683685"/>
    <w:rsid w:val="006903EE"/>
    <w:rsid w:val="00693CD9"/>
    <w:rsid w:val="006949A4"/>
    <w:rsid w:val="00696A62"/>
    <w:rsid w:val="006B5D0A"/>
    <w:rsid w:val="006E1FD5"/>
    <w:rsid w:val="006E6C17"/>
    <w:rsid w:val="006F03B8"/>
    <w:rsid w:val="006F3292"/>
    <w:rsid w:val="006F6BE3"/>
    <w:rsid w:val="00700443"/>
    <w:rsid w:val="00706DB5"/>
    <w:rsid w:val="007205ED"/>
    <w:rsid w:val="0072685B"/>
    <w:rsid w:val="007435A4"/>
    <w:rsid w:val="00744EB0"/>
    <w:rsid w:val="00775278"/>
    <w:rsid w:val="0078213C"/>
    <w:rsid w:val="00786C6F"/>
    <w:rsid w:val="007A43D0"/>
    <w:rsid w:val="007C3137"/>
    <w:rsid w:val="007C3A42"/>
    <w:rsid w:val="007C6775"/>
    <w:rsid w:val="007C6D68"/>
    <w:rsid w:val="007E0F50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70F0"/>
    <w:rsid w:val="008344BE"/>
    <w:rsid w:val="00844382"/>
    <w:rsid w:val="00845C22"/>
    <w:rsid w:val="00855007"/>
    <w:rsid w:val="008569BE"/>
    <w:rsid w:val="0086087C"/>
    <w:rsid w:val="00864BAD"/>
    <w:rsid w:val="00865402"/>
    <w:rsid w:val="00867A5A"/>
    <w:rsid w:val="008720C9"/>
    <w:rsid w:val="00876899"/>
    <w:rsid w:val="00876A9E"/>
    <w:rsid w:val="00893E02"/>
    <w:rsid w:val="008943ED"/>
    <w:rsid w:val="008B076D"/>
    <w:rsid w:val="008B0E0F"/>
    <w:rsid w:val="008B41D8"/>
    <w:rsid w:val="008B5ADB"/>
    <w:rsid w:val="008C66CD"/>
    <w:rsid w:val="008E1CBC"/>
    <w:rsid w:val="008E2C3B"/>
    <w:rsid w:val="008E2F1F"/>
    <w:rsid w:val="008E4C74"/>
    <w:rsid w:val="008E6EBC"/>
    <w:rsid w:val="008F02F3"/>
    <w:rsid w:val="008F1BCA"/>
    <w:rsid w:val="00904ED6"/>
    <w:rsid w:val="009066FA"/>
    <w:rsid w:val="00907798"/>
    <w:rsid w:val="00907A8C"/>
    <w:rsid w:val="0091205F"/>
    <w:rsid w:val="00913878"/>
    <w:rsid w:val="00921D2B"/>
    <w:rsid w:val="0092269F"/>
    <w:rsid w:val="009243D3"/>
    <w:rsid w:val="00937C9B"/>
    <w:rsid w:val="009440A7"/>
    <w:rsid w:val="00944612"/>
    <w:rsid w:val="00944D8F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A2103"/>
    <w:rsid w:val="009A7491"/>
    <w:rsid w:val="009C3DF7"/>
    <w:rsid w:val="009C7957"/>
    <w:rsid w:val="009D6C3B"/>
    <w:rsid w:val="009E086F"/>
    <w:rsid w:val="009E365C"/>
    <w:rsid w:val="009F4530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4EF3"/>
    <w:rsid w:val="00A75098"/>
    <w:rsid w:val="00A755A3"/>
    <w:rsid w:val="00A9570A"/>
    <w:rsid w:val="00AB15F1"/>
    <w:rsid w:val="00AB5455"/>
    <w:rsid w:val="00AB59E2"/>
    <w:rsid w:val="00AB5C88"/>
    <w:rsid w:val="00AD5966"/>
    <w:rsid w:val="00AD7028"/>
    <w:rsid w:val="00AD74B4"/>
    <w:rsid w:val="00AD7F97"/>
    <w:rsid w:val="00AE5666"/>
    <w:rsid w:val="00AF2627"/>
    <w:rsid w:val="00AF3689"/>
    <w:rsid w:val="00AF4122"/>
    <w:rsid w:val="00B004E6"/>
    <w:rsid w:val="00B010E7"/>
    <w:rsid w:val="00B02DD9"/>
    <w:rsid w:val="00B123B6"/>
    <w:rsid w:val="00B14B3C"/>
    <w:rsid w:val="00B16DE8"/>
    <w:rsid w:val="00B2140A"/>
    <w:rsid w:val="00B219B0"/>
    <w:rsid w:val="00B24427"/>
    <w:rsid w:val="00B25ADD"/>
    <w:rsid w:val="00B26889"/>
    <w:rsid w:val="00B27C02"/>
    <w:rsid w:val="00B33DD0"/>
    <w:rsid w:val="00B4416B"/>
    <w:rsid w:val="00B46733"/>
    <w:rsid w:val="00B4737E"/>
    <w:rsid w:val="00B51A09"/>
    <w:rsid w:val="00B57F0D"/>
    <w:rsid w:val="00B606BB"/>
    <w:rsid w:val="00B8010C"/>
    <w:rsid w:val="00B90E9B"/>
    <w:rsid w:val="00BA284D"/>
    <w:rsid w:val="00BA52ED"/>
    <w:rsid w:val="00BA5512"/>
    <w:rsid w:val="00BB75E7"/>
    <w:rsid w:val="00BC3986"/>
    <w:rsid w:val="00BC4224"/>
    <w:rsid w:val="00BC46BA"/>
    <w:rsid w:val="00BC6E3C"/>
    <w:rsid w:val="00BC7D9A"/>
    <w:rsid w:val="00BE5261"/>
    <w:rsid w:val="00C04E78"/>
    <w:rsid w:val="00C10BF0"/>
    <w:rsid w:val="00C11E63"/>
    <w:rsid w:val="00C25D12"/>
    <w:rsid w:val="00C34AED"/>
    <w:rsid w:val="00C35A08"/>
    <w:rsid w:val="00C50C74"/>
    <w:rsid w:val="00C55143"/>
    <w:rsid w:val="00C7177C"/>
    <w:rsid w:val="00C71DC5"/>
    <w:rsid w:val="00C8129B"/>
    <w:rsid w:val="00C96F99"/>
    <w:rsid w:val="00CA1804"/>
    <w:rsid w:val="00CA3CEC"/>
    <w:rsid w:val="00CA4FB2"/>
    <w:rsid w:val="00CA763E"/>
    <w:rsid w:val="00CB265A"/>
    <w:rsid w:val="00CB5231"/>
    <w:rsid w:val="00CC19C9"/>
    <w:rsid w:val="00CD3BED"/>
    <w:rsid w:val="00CD582B"/>
    <w:rsid w:val="00CE0165"/>
    <w:rsid w:val="00CE6CA4"/>
    <w:rsid w:val="00CF658E"/>
    <w:rsid w:val="00CF7046"/>
    <w:rsid w:val="00D01061"/>
    <w:rsid w:val="00D022B1"/>
    <w:rsid w:val="00D2527F"/>
    <w:rsid w:val="00D262B0"/>
    <w:rsid w:val="00D50B6B"/>
    <w:rsid w:val="00D61D94"/>
    <w:rsid w:val="00D76F1C"/>
    <w:rsid w:val="00D851C4"/>
    <w:rsid w:val="00D861ED"/>
    <w:rsid w:val="00D8709A"/>
    <w:rsid w:val="00D90A81"/>
    <w:rsid w:val="00D96270"/>
    <w:rsid w:val="00DA703E"/>
    <w:rsid w:val="00DB0741"/>
    <w:rsid w:val="00DB3DCC"/>
    <w:rsid w:val="00DB618A"/>
    <w:rsid w:val="00DC5868"/>
    <w:rsid w:val="00DC7251"/>
    <w:rsid w:val="00DD1305"/>
    <w:rsid w:val="00DE0013"/>
    <w:rsid w:val="00DE12D7"/>
    <w:rsid w:val="00DE16C3"/>
    <w:rsid w:val="00DF49DB"/>
    <w:rsid w:val="00DF7598"/>
    <w:rsid w:val="00E038CA"/>
    <w:rsid w:val="00E03C5B"/>
    <w:rsid w:val="00E0442E"/>
    <w:rsid w:val="00E06008"/>
    <w:rsid w:val="00E06054"/>
    <w:rsid w:val="00E07105"/>
    <w:rsid w:val="00E07BC5"/>
    <w:rsid w:val="00E21321"/>
    <w:rsid w:val="00E25FCD"/>
    <w:rsid w:val="00E31767"/>
    <w:rsid w:val="00E31FBE"/>
    <w:rsid w:val="00E32591"/>
    <w:rsid w:val="00E36847"/>
    <w:rsid w:val="00E402CD"/>
    <w:rsid w:val="00E44883"/>
    <w:rsid w:val="00E61370"/>
    <w:rsid w:val="00E61DED"/>
    <w:rsid w:val="00E622C4"/>
    <w:rsid w:val="00E736F8"/>
    <w:rsid w:val="00E7646B"/>
    <w:rsid w:val="00E77252"/>
    <w:rsid w:val="00E77705"/>
    <w:rsid w:val="00E841A3"/>
    <w:rsid w:val="00E86C81"/>
    <w:rsid w:val="00E87442"/>
    <w:rsid w:val="00E91F04"/>
    <w:rsid w:val="00E952C5"/>
    <w:rsid w:val="00EA0B68"/>
    <w:rsid w:val="00EA10C1"/>
    <w:rsid w:val="00EA16FF"/>
    <w:rsid w:val="00EB0FD9"/>
    <w:rsid w:val="00EB7B0B"/>
    <w:rsid w:val="00EC278C"/>
    <w:rsid w:val="00ED0BBF"/>
    <w:rsid w:val="00ED6F58"/>
    <w:rsid w:val="00F029F2"/>
    <w:rsid w:val="00F04574"/>
    <w:rsid w:val="00F16C78"/>
    <w:rsid w:val="00F2045D"/>
    <w:rsid w:val="00F27E55"/>
    <w:rsid w:val="00F304A2"/>
    <w:rsid w:val="00F30918"/>
    <w:rsid w:val="00F363C7"/>
    <w:rsid w:val="00F4008D"/>
    <w:rsid w:val="00F566D7"/>
    <w:rsid w:val="00F615FE"/>
    <w:rsid w:val="00F719B2"/>
    <w:rsid w:val="00F80399"/>
    <w:rsid w:val="00F91DF6"/>
    <w:rsid w:val="00F923C4"/>
    <w:rsid w:val="00FA3415"/>
    <w:rsid w:val="00FD3520"/>
    <w:rsid w:val="00FD5581"/>
    <w:rsid w:val="00FF3ADB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pPr>
      <w:jc w:val="both"/>
    </w:pPr>
  </w:style>
  <w:style w:type="paragraph" w:styleId="Rientrocorpodeltesto">
    <w:name w:val="Body Text Indent"/>
    <w:basedOn w:val="Normale"/>
    <w:semiHidden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pPr>
      <w:jc w:val="center"/>
    </w:pPr>
    <w:rPr>
      <w:b/>
      <w:bCs/>
      <w:szCs w:val="28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Corpodeltesto3">
    <w:name w:val="Body Text 3"/>
    <w:basedOn w:val="Normale"/>
    <w:semiHidden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</w:style>
  <w:style w:type="paragraph" w:customStyle="1" w:styleId="xl25">
    <w:name w:val="xl25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Rientrocorpodeltesto3">
    <w:name w:val="Body Text Indent 3"/>
    <w:basedOn w:val="Normale"/>
    <w:semiHidden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xl28">
    <w:name w:val="xl28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Pr>
      <w:b/>
      <w:bCs/>
    </w:rPr>
  </w:style>
  <w:style w:type="paragraph" w:styleId="Testodelblocco">
    <w:name w:val="Block Text"/>
    <w:basedOn w:val="Normale"/>
    <w:semiHidden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package" Target="embeddings/Microsoft_PowerPoint_Slide4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footer" Target="footer1.xml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package" Target="embeddings/Microsoft_PowerPoint_Slide5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dre\Desktop\Andrea28062014\Piratinvolo\Piratinvol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it-IT" sz="1600"/>
              <a:t>Durata media dei viaggi rispetto allo stesso mese dell'anno scorso (in notti)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2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</c:dPt>
          <c:cat>
            <c:strRef>
              <c:f>Foglio2!$C$20:$E$20</c:f>
              <c:strCache>
                <c:ptCount val="3"/>
                <c:pt idx="0">
                  <c:v>Maggio</c:v>
                </c:pt>
                <c:pt idx="1">
                  <c:v>Giugno</c:v>
                </c:pt>
                <c:pt idx="2">
                  <c:v>Luglio</c:v>
                </c:pt>
              </c:strCache>
            </c:strRef>
          </c:cat>
          <c:val>
            <c:numRef>
              <c:f>Foglio2!$C$21:$E$21</c:f>
              <c:numCache>
                <c:formatCode>0.0%</c:formatCode>
                <c:ptCount val="3"/>
                <c:pt idx="0">
                  <c:v>-0.15873015873015875</c:v>
                </c:pt>
                <c:pt idx="1">
                  <c:v>-6.0975609756097497E-2</c:v>
                </c:pt>
                <c:pt idx="2">
                  <c:v>1.3698630136986358E-2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78727424"/>
        <c:axId val="78372864"/>
      </c:barChart>
      <c:catAx>
        <c:axId val="78727424"/>
        <c:scaling>
          <c:orientation val="minMax"/>
        </c:scaling>
        <c:delete val="0"/>
        <c:axPos val="b"/>
        <c:majorTickMark val="none"/>
        <c:minorTickMark val="none"/>
        <c:tickLblPos val="low"/>
        <c:crossAx val="78372864"/>
        <c:crosses val="autoZero"/>
        <c:auto val="1"/>
        <c:lblAlgn val="ctr"/>
        <c:lblOffset val="100"/>
        <c:noMultiLvlLbl val="0"/>
      </c:catAx>
      <c:valAx>
        <c:axId val="78372864"/>
        <c:scaling>
          <c:orientation val="minMax"/>
          <c:max val="0.05"/>
          <c:min val="-0.2"/>
        </c:scaling>
        <c:delete val="0"/>
        <c:axPos val="l"/>
        <c:majorGridlines/>
        <c:numFmt formatCode="0%" sourceLinked="0"/>
        <c:majorTickMark val="none"/>
        <c:minorTickMark val="none"/>
        <c:tickLblPos val="nextTo"/>
        <c:spPr>
          <a:ln w="9525">
            <a:noFill/>
          </a:ln>
        </c:spPr>
        <c:crossAx val="78727424"/>
        <c:crosses val="autoZero"/>
        <c:crossBetween val="between"/>
        <c:majorUnit val="0.05"/>
      </c:valAx>
    </c:plotArea>
    <c:plotVisOnly val="1"/>
    <c:dispBlanksAs val="gap"/>
    <c:showDLblsOverMax val="0"/>
  </c:chart>
  <c:txPr>
    <a:bodyPr/>
    <a:lstStyle/>
    <a:p>
      <a:pPr>
        <a:defRPr sz="1200">
          <a:latin typeface="Garamond" pitchFamily="18" charset="0"/>
        </a:defRPr>
      </a:pPr>
      <a:endParaRPr lang="it-I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821A5EF-8123-4F3C-BE59-8DFFE6C19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4872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2014-09-29T09:40:00Z</cp:lastPrinted>
  <dcterms:created xsi:type="dcterms:W3CDTF">2015-08-04T14:46:00Z</dcterms:created>
  <dcterms:modified xsi:type="dcterms:W3CDTF">2015-08-04T14:46:00Z</dcterms:modified>
</cp:coreProperties>
</file>