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8" w:rsidRDefault="00B42198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</w:p>
    <w:p w:rsidR="00B42198" w:rsidRDefault="00B43F57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L’IMPATTO DEGLI EVENTI CULTURALI E DI SPETTACOLO SULL’ECONOMIA DEL TERRITORIO</w:t>
      </w:r>
    </w:p>
    <w:p w:rsidR="00B42198" w:rsidRDefault="00B43F57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Indagine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Agis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e Università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Iulm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in collaborazione con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Makno</w:t>
      </w:r>
      <w:proofErr w:type="spellEnd"/>
    </w:p>
    <w:p w:rsidR="00B42198" w:rsidRDefault="00B42198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B42198" w:rsidRDefault="00B43F57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FOCUS SU ROMA E PROVINCIA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3F57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 cosa e quanto si spende</w:t>
      </w: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occasione dell’uscita per il cinema o per il teatro, gli spettatori del Centro Italia (inclusi quelli di Roma e della provincia) spendono in media, oltre al biglietto di ingresso, altri 43 euro pro capite, circa 10 euro in meno rispetto alla media nazio</w:t>
      </w:r>
      <w:r>
        <w:rPr>
          <w:rFonts w:ascii="Verdana" w:eastAsia="Verdana" w:hAnsi="Verdana" w:cs="Verdana"/>
        </w:rPr>
        <w:t xml:space="preserve">nale e 20 euro in meno rispetto agli spettatori del Nord Ovest. </w:t>
      </w: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spesa che incide in misura maggiore, con un importo medio pro capite di 16 euro, è quella per la ristorazione; per lo shopping in genere si spendono poco meno di 9 euro, circa la metà di q</w:t>
      </w:r>
      <w:r>
        <w:rPr>
          <w:rFonts w:ascii="Verdana" w:eastAsia="Verdana" w:hAnsi="Verdana" w:cs="Verdana"/>
        </w:rPr>
        <w:t>uanto spendono per la stessa voce gli spettatori del Nord Ovest.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3F57">
      <w:pPr>
        <w:ind w:left="426"/>
        <w:jc w:val="both"/>
        <w:rPr>
          <w:rFonts w:ascii="Verdana" w:eastAsia="Verdana" w:hAnsi="Verdana" w:cs="Verdana"/>
          <w:b/>
          <w:color w:val="0066FF"/>
        </w:rPr>
      </w:pPr>
      <w:r>
        <w:rPr>
          <w:rFonts w:ascii="Verdana" w:eastAsia="Verdana" w:hAnsi="Verdana" w:cs="Verdana"/>
          <w:b/>
          <w:color w:val="0066FF"/>
        </w:rPr>
        <w:t>Dove si spende (dati in euro)</w:t>
      </w:r>
    </w:p>
    <w:tbl>
      <w:tblPr>
        <w:tblStyle w:val="a"/>
        <w:tblW w:w="87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5"/>
        <w:gridCol w:w="1077"/>
        <w:gridCol w:w="1077"/>
        <w:gridCol w:w="1077"/>
        <w:gridCol w:w="1077"/>
        <w:gridCol w:w="1077"/>
      </w:tblGrid>
      <w:tr w:rsidR="00B42198">
        <w:trPr>
          <w:trHeight w:val="6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Motivo della spesa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Nord Ovest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8EB4E3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Nord Est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Centro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Sud e Isole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Media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Parcheggio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77" w:type="dxa"/>
            <w:tcBorders>
              <w:top w:val="single" w:sz="8" w:space="0" w:color="4F81BD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6,5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Ristorante/pizzeria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21,9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17,6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Shopping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17,6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13,4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Utilizzo sale giochi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2,8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Acuisti per i bambini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4,7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Acquisti per me e/o altri familiari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7,3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8,2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6,9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8EB4E3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558ED5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B42198">
        <w:trPr>
          <w:trHeight w:val="380"/>
          <w:jc w:val="center"/>
        </w:trPr>
        <w:tc>
          <w:tcPr>
            <w:tcW w:w="3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63,3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4F81BD"/>
              <w:right w:val="single" w:sz="8" w:space="0" w:color="8EB4E3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8" w:space="0" w:color="558ED5"/>
              <w:left w:val="single" w:sz="8" w:space="0" w:color="8EB4E3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2198" w:rsidRDefault="00B43F57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53,1</w:t>
            </w:r>
          </w:p>
        </w:tc>
      </w:tr>
    </w:tbl>
    <w:p w:rsidR="00B42198" w:rsidRDefault="00B43F57">
      <w:p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Dati in euro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3F57">
      <w:pP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Le spese degli spettatori delle sale cinematografiche di Roma e della provincia</w:t>
      </w: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L’impatto generato sull’economia dei territori dagli spettatori delle sale cinematografiche di Roma e della provincia è consistente.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particolare, a Roma gli o</w:t>
      </w:r>
      <w:r>
        <w:rPr>
          <w:rFonts w:ascii="Verdana" w:eastAsia="Verdana" w:hAnsi="Verdana" w:cs="Verdana"/>
        </w:rPr>
        <w:t xml:space="preserve">ltre 6 milioni e 200mila spettatori che hanno frequentato un cinema della Capitale nei primi dieci mesi di quest’anno (dati </w:t>
      </w:r>
      <w:proofErr w:type="spellStart"/>
      <w:r>
        <w:rPr>
          <w:rFonts w:ascii="Verdana" w:eastAsia="Verdana" w:hAnsi="Verdana" w:cs="Verdana"/>
        </w:rPr>
        <w:t>Cinetel</w:t>
      </w:r>
      <w:proofErr w:type="spellEnd"/>
      <w:r>
        <w:rPr>
          <w:rFonts w:ascii="Verdana" w:eastAsia="Verdana" w:hAnsi="Verdana" w:cs="Verdana"/>
        </w:rPr>
        <w:t xml:space="preserve">) hanno speso complessivamente, biglietti esclusi, 269,2 milioni di euro. Ciò ha generato un </w:t>
      </w:r>
      <w:r>
        <w:rPr>
          <w:rFonts w:ascii="Verdana" w:eastAsia="Verdana" w:hAnsi="Verdana" w:cs="Verdana"/>
        </w:rPr>
        <w:lastRenderedPageBreak/>
        <w:t>incremento della produzione di b</w:t>
      </w:r>
      <w:r>
        <w:rPr>
          <w:rFonts w:ascii="Verdana" w:eastAsia="Verdana" w:hAnsi="Verdana" w:cs="Verdana"/>
        </w:rPr>
        <w:t>eni intermedi di 547,6 milioni di euro (il doppio  per ogni euro speso), 236,7 milioni di euro in maggior valore aggiunto e oltre 5mila unità di lavoro.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livello provinciale, le spese extra biglietto degli oltre 8 milioni e 100mila spettatori delle sale </w:t>
      </w:r>
      <w:r>
        <w:rPr>
          <w:rFonts w:ascii="Verdana" w:eastAsia="Verdana" w:hAnsi="Verdana" w:cs="Verdana"/>
        </w:rPr>
        <w:t xml:space="preserve">cinematografiche della provincia di Roma nei primi dieci mesi del 2018 (dati </w:t>
      </w:r>
      <w:proofErr w:type="spellStart"/>
      <w:r>
        <w:rPr>
          <w:rFonts w:ascii="Verdana" w:eastAsia="Verdana" w:hAnsi="Verdana" w:cs="Verdana"/>
        </w:rPr>
        <w:t>Cinetel</w:t>
      </w:r>
      <w:proofErr w:type="spellEnd"/>
      <w:r>
        <w:rPr>
          <w:rFonts w:ascii="Verdana" w:eastAsia="Verdana" w:hAnsi="Verdana" w:cs="Verdana"/>
        </w:rPr>
        <w:t>)  ammontano a 348,8 milioni di euro. Tutto ciò si traduce sul territorio in una produzione aggiuntiva di beni intermedi pari a 709,5 milioni di euro, un aumento del valore</w:t>
      </w:r>
      <w:r>
        <w:rPr>
          <w:rFonts w:ascii="Verdana" w:eastAsia="Verdana" w:hAnsi="Verdana" w:cs="Verdana"/>
        </w:rPr>
        <w:t xml:space="preserve"> aggiunto di 306,7 milioni di euro e di oltre 6mila e 500 unità di lavoro.</w:t>
      </w:r>
    </w:p>
    <w:p w:rsidR="00B42198" w:rsidRDefault="00B42198">
      <w:pPr>
        <w:spacing w:after="0"/>
      </w:pPr>
    </w:p>
    <w:p w:rsidR="00B42198" w:rsidRDefault="00B43F57">
      <w:pPr>
        <w:spacing w:after="0"/>
        <w:jc w:val="both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“I dati sulla fruizione cinematografica di Roma e provincia – osserva Valerio Toniolo, direttore di Impresa Cultura Italia-Confcommercio, confermano la vitalità e l’interesse da parte del pubblico verso questo tipo di intrattenimento. Basti pensare che le </w:t>
      </w:r>
      <w:r>
        <w:rPr>
          <w:rFonts w:ascii="Verdana" w:eastAsia="Verdana" w:hAnsi="Verdana" w:cs="Verdana"/>
        </w:rPr>
        <w:t>presenze registrate solo nel Comune di Roma nei primi dieci mesi dell’anno rappresentano quasi il 10% del totale nazionale”. “Più in generale – conclude Toniolo – investire su spazi culturali intesi come luoghi dove la cultura diventa esperienza attraverso</w:t>
      </w:r>
      <w:r>
        <w:rPr>
          <w:rFonts w:ascii="Verdana" w:eastAsia="Verdana" w:hAnsi="Verdana" w:cs="Verdana"/>
        </w:rPr>
        <w:t xml:space="preserve"> anche attività di intrattenimento che hanno come finalità ultima il pubblico e il suo arricchimento , veri e propri contenitori che possano consentire al pubblico di fruire di eventi culturali in ogni loro declinazione, non può che essere l’input per aume</w:t>
      </w:r>
      <w:r>
        <w:rPr>
          <w:rFonts w:ascii="Verdana" w:eastAsia="Verdana" w:hAnsi="Verdana" w:cs="Verdana"/>
        </w:rPr>
        <w:t>ntare ancora di più la ricaduta economica del settore sul territorio”.</w:t>
      </w:r>
    </w:p>
    <w:p w:rsidR="00B42198" w:rsidRDefault="00B42198">
      <w:pPr>
        <w:spacing w:after="0"/>
        <w:jc w:val="both"/>
        <w:rPr>
          <w:rFonts w:ascii="Verdana" w:eastAsia="Verdana" w:hAnsi="Verdana" w:cs="Verdana"/>
        </w:rPr>
      </w:pPr>
    </w:p>
    <w:p w:rsidR="00B42198" w:rsidRDefault="00B42198"/>
    <w:p w:rsidR="00B42198" w:rsidRDefault="00B42198"/>
    <w:sectPr w:rsidR="00B42198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7" w:rsidRDefault="00B43F57">
      <w:pPr>
        <w:spacing w:after="0" w:line="240" w:lineRule="auto"/>
      </w:pPr>
      <w:r>
        <w:separator/>
      </w:r>
    </w:p>
  </w:endnote>
  <w:endnote w:type="continuationSeparator" w:id="0">
    <w:p w:rsidR="00B43F57" w:rsidRDefault="00B4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98" w:rsidRDefault="00B4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56851">
      <w:rPr>
        <w:color w:val="000000"/>
      </w:rPr>
      <w:fldChar w:fldCharType="separate"/>
    </w:r>
    <w:r w:rsidR="00956851">
      <w:rPr>
        <w:noProof/>
        <w:color w:val="000000"/>
      </w:rPr>
      <w:t>2</w:t>
    </w:r>
    <w:r>
      <w:rPr>
        <w:color w:val="000000"/>
      </w:rPr>
      <w:fldChar w:fldCharType="end"/>
    </w:r>
  </w:p>
  <w:p w:rsidR="00B42198" w:rsidRDefault="00B421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7" w:rsidRDefault="00B43F57">
      <w:pPr>
        <w:spacing w:after="0" w:line="240" w:lineRule="auto"/>
      </w:pPr>
      <w:r>
        <w:separator/>
      </w:r>
    </w:p>
  </w:footnote>
  <w:footnote w:type="continuationSeparator" w:id="0">
    <w:p w:rsidR="00B43F57" w:rsidRDefault="00B4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98" w:rsidRDefault="00B43F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1607820</wp:posOffset>
          </wp:positionH>
          <wp:positionV relativeFrom="paragraph">
            <wp:posOffset>-244474</wp:posOffset>
          </wp:positionV>
          <wp:extent cx="1401445" cy="791845"/>
          <wp:effectExtent l="0" t="0" r="0" b="0"/>
          <wp:wrapSquare wrapText="bothSides" distT="0" distB="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445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3337560</wp:posOffset>
          </wp:positionH>
          <wp:positionV relativeFrom="paragraph">
            <wp:posOffset>-313054</wp:posOffset>
          </wp:positionV>
          <wp:extent cx="852170" cy="863600"/>
          <wp:effectExtent l="0" t="0" r="0" b="0"/>
          <wp:wrapSquare wrapText="bothSides" distT="0" distB="0" distL="114300" distR="114300"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7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198"/>
    <w:rsid w:val="00956851"/>
    <w:rsid w:val="00B42198"/>
    <w:rsid w:val="00B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52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32C"/>
  </w:style>
  <w:style w:type="paragraph" w:styleId="Pidipagina">
    <w:name w:val="footer"/>
    <w:basedOn w:val="Normale"/>
    <w:link w:val="PidipaginaCarattere"/>
    <w:uiPriority w:val="99"/>
    <w:unhideWhenUsed/>
    <w:rsid w:val="00552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32C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52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32C"/>
  </w:style>
  <w:style w:type="paragraph" w:styleId="Pidipagina">
    <w:name w:val="footer"/>
    <w:basedOn w:val="Normale"/>
    <w:link w:val="PidipaginaCarattere"/>
    <w:uiPriority w:val="99"/>
    <w:unhideWhenUsed/>
    <w:rsid w:val="00552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32C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</dc:creator>
  <cp:lastModifiedBy>moretti</cp:lastModifiedBy>
  <cp:revision>2</cp:revision>
  <dcterms:created xsi:type="dcterms:W3CDTF">2018-11-14T08:14:00Z</dcterms:created>
  <dcterms:modified xsi:type="dcterms:W3CDTF">2018-11-14T08:14:00Z</dcterms:modified>
</cp:coreProperties>
</file>