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AC" w:rsidRDefault="00372EE8" w:rsidP="00FF575E">
      <w:pPr>
        <w:jc w:val="right"/>
        <w:rPr>
          <w:rFonts w:ascii="Verdana" w:hAnsi="Verdana"/>
          <w:sz w:val="20"/>
        </w:rPr>
      </w:pPr>
      <w:r>
        <w:rPr>
          <w:rFonts w:ascii="Verdana" w:hAnsi="Verdana"/>
          <w:noProof/>
          <w:sz w:val="22"/>
        </w:rPr>
        <w:drawing>
          <wp:anchor distT="0" distB="0" distL="114300" distR="114300" simplePos="0" relativeHeight="251657728" behindDoc="0" locked="0" layoutInCell="1" allowOverlap="1">
            <wp:simplePos x="0" y="0"/>
            <wp:positionH relativeFrom="column">
              <wp:posOffset>149225</wp:posOffset>
            </wp:positionH>
            <wp:positionV relativeFrom="paragraph">
              <wp:posOffset>-408940</wp:posOffset>
            </wp:positionV>
            <wp:extent cx="2400300" cy="106553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9C3" w:rsidRDefault="006209C3">
      <w:pPr>
        <w:pStyle w:val="Corpodeltesto2"/>
        <w:rPr>
          <w:rFonts w:ascii="Verdana" w:hAnsi="Verdana"/>
          <w:b w:val="0"/>
          <w:sz w:val="20"/>
          <w:szCs w:val="20"/>
        </w:rPr>
      </w:pPr>
    </w:p>
    <w:p w:rsidR="001E1433" w:rsidRPr="00A344A3" w:rsidRDefault="001E1433" w:rsidP="00F11ECC">
      <w:pPr>
        <w:shd w:val="clear" w:color="auto" w:fill="FFFFFF"/>
        <w:jc w:val="both"/>
        <w:rPr>
          <w:rFonts w:ascii="Verdana" w:eastAsia="Times New Roman" w:hAnsi="Verdana" w:cs="Arial"/>
          <w:color w:val="000000"/>
          <w:sz w:val="18"/>
          <w:szCs w:val="18"/>
        </w:rPr>
      </w:pPr>
    </w:p>
    <w:p w:rsidR="00B46F2C" w:rsidRPr="00A344A3" w:rsidRDefault="00B46F2C" w:rsidP="00F11ECC">
      <w:pPr>
        <w:shd w:val="clear" w:color="auto" w:fill="FFFFFF"/>
        <w:jc w:val="both"/>
        <w:rPr>
          <w:rFonts w:ascii="Verdana" w:eastAsia="Times New Roman" w:hAnsi="Verdana" w:cs="Arial"/>
          <w:color w:val="000000"/>
          <w:sz w:val="18"/>
          <w:szCs w:val="18"/>
        </w:rPr>
      </w:pPr>
    </w:p>
    <w:p w:rsidR="009A5BFD" w:rsidRDefault="009A5BFD" w:rsidP="009A5BFD">
      <w:pPr>
        <w:pStyle w:val="Corpodeltesto3"/>
        <w:jc w:val="left"/>
        <w:rPr>
          <w:b/>
          <w:sz w:val="20"/>
        </w:rPr>
      </w:pPr>
      <w:r w:rsidRPr="00396C96">
        <w:rPr>
          <w:b/>
          <w:sz w:val="20"/>
        </w:rPr>
        <w:t>La nuova TARI</w:t>
      </w:r>
    </w:p>
    <w:p w:rsidR="009A5BFD" w:rsidRPr="00D42DAC" w:rsidRDefault="009A5BFD" w:rsidP="00A809B0">
      <w:pPr>
        <w:pStyle w:val="Corpodeltesto3"/>
        <w:jc w:val="both"/>
        <w:rPr>
          <w:rFonts w:eastAsia="Arial Unicode MS"/>
          <w:sz w:val="20"/>
          <w:u w:color="000000"/>
        </w:rPr>
      </w:pPr>
      <w:r w:rsidRPr="00D42DAC">
        <w:rPr>
          <w:rFonts w:eastAsia="Arial Unicode MS"/>
          <w:sz w:val="20"/>
          <w:u w:color="000000"/>
        </w:rPr>
        <w:t xml:space="preserve">La recente legge di stabilità, abrogando tutti i precedenti regimi di prelievo (Tarsu, Tia1, Tia2 e Tares), istituisce in tutti i comuni del territorio nazionale un nuovo tributo denominato </w:t>
      </w:r>
      <w:r w:rsidRPr="00123CF1">
        <w:rPr>
          <w:rFonts w:eastAsia="Arial Unicode MS"/>
          <w:sz w:val="20"/>
          <w:u w:color="000000"/>
        </w:rPr>
        <w:t>IUC</w:t>
      </w:r>
      <w:r w:rsidRPr="00D42DAC">
        <w:rPr>
          <w:rFonts w:eastAsia="Arial Unicode MS"/>
          <w:sz w:val="20"/>
          <w:u w:color="000000"/>
        </w:rPr>
        <w:t xml:space="preserve"> (Imposta Unica Comunale). La nuova imposta si basa su due distinti presupposti: uno costituito dal possesso di immobili e collegato alla loro natura e valore e l’altro collegato all’erogazione e alla fruizione di servizi comunali. La nuova IUC resta, comunque, una Service Tax che ingloba:</w:t>
      </w:r>
    </w:p>
    <w:p w:rsidR="009A5BFD" w:rsidRPr="00D42DAC" w:rsidRDefault="009A5BFD" w:rsidP="009A5BFD">
      <w:pPr>
        <w:numPr>
          <w:ilvl w:val="0"/>
          <w:numId w:val="7"/>
        </w:numPr>
        <w:contextualSpacing/>
        <w:jc w:val="both"/>
        <w:rPr>
          <w:rFonts w:ascii="Verdana" w:eastAsia="Arial Unicode MS" w:hAnsi="Verdana"/>
          <w:sz w:val="20"/>
          <w:u w:color="000000"/>
          <w:lang w:eastAsia="en-US"/>
        </w:rPr>
      </w:pPr>
      <w:r w:rsidRPr="00D42DAC">
        <w:rPr>
          <w:rFonts w:ascii="Verdana" w:eastAsia="Arial Unicode MS" w:hAnsi="Verdana"/>
          <w:sz w:val="20"/>
          <w:u w:color="000000"/>
          <w:lang w:eastAsia="en-US"/>
        </w:rPr>
        <w:t>IMU: tassa sugli immobili</w:t>
      </w:r>
    </w:p>
    <w:p w:rsidR="009A5BFD" w:rsidRPr="00D42DAC" w:rsidRDefault="009A5BFD" w:rsidP="009A5BFD">
      <w:pPr>
        <w:numPr>
          <w:ilvl w:val="0"/>
          <w:numId w:val="7"/>
        </w:numPr>
        <w:contextualSpacing/>
        <w:jc w:val="both"/>
        <w:rPr>
          <w:rFonts w:ascii="Verdana" w:eastAsia="Arial Unicode MS" w:hAnsi="Verdana"/>
          <w:sz w:val="20"/>
          <w:u w:color="000000"/>
          <w:lang w:eastAsia="en-US"/>
        </w:rPr>
      </w:pPr>
      <w:r w:rsidRPr="00D42DAC">
        <w:rPr>
          <w:rFonts w:ascii="Verdana" w:eastAsia="Arial Unicode MS" w:hAnsi="Verdana"/>
          <w:sz w:val="20"/>
          <w:u w:color="000000"/>
          <w:lang w:eastAsia="en-US"/>
        </w:rPr>
        <w:t>TASI: imposta sui servizi indivisibili dei Comuni</w:t>
      </w:r>
    </w:p>
    <w:p w:rsidR="009A5BFD" w:rsidRPr="00B46F2C" w:rsidRDefault="009A5BFD" w:rsidP="009A5BFD">
      <w:pPr>
        <w:numPr>
          <w:ilvl w:val="0"/>
          <w:numId w:val="7"/>
        </w:numPr>
        <w:contextualSpacing/>
        <w:jc w:val="both"/>
        <w:rPr>
          <w:rFonts w:ascii="Verdana" w:eastAsia="Arial Unicode MS" w:hAnsi="Verdana"/>
          <w:sz w:val="20"/>
          <w:u w:color="000000"/>
          <w:lang w:eastAsia="en-US"/>
        </w:rPr>
      </w:pPr>
      <w:r w:rsidRPr="00B46F2C">
        <w:rPr>
          <w:rFonts w:ascii="Verdana" w:eastAsia="Arial Unicode MS" w:hAnsi="Verdana"/>
          <w:sz w:val="20"/>
          <w:u w:color="000000"/>
          <w:lang w:eastAsia="en-US"/>
        </w:rPr>
        <w:t>TARI: tassa sui rifiuti</w:t>
      </w:r>
    </w:p>
    <w:p w:rsidR="009A5BFD" w:rsidRPr="00D42DAC" w:rsidRDefault="009A5BFD" w:rsidP="009A5BFD">
      <w:pPr>
        <w:jc w:val="both"/>
        <w:rPr>
          <w:rFonts w:ascii="Verdana" w:hAnsi="Verdana"/>
          <w:sz w:val="20"/>
        </w:rPr>
      </w:pPr>
    </w:p>
    <w:p w:rsidR="001E1433" w:rsidRDefault="009A5BFD" w:rsidP="009A5BFD">
      <w:pPr>
        <w:jc w:val="both"/>
        <w:rPr>
          <w:rFonts w:ascii="Verdana" w:hAnsi="Verdana"/>
          <w:sz w:val="20"/>
        </w:rPr>
      </w:pPr>
      <w:r w:rsidRPr="00D42DAC">
        <w:rPr>
          <w:rFonts w:ascii="Verdana" w:hAnsi="Verdana"/>
          <w:sz w:val="20"/>
        </w:rPr>
        <w:t xml:space="preserve">La struttura della TARI riflette quasi pedissequamente la precedente formulazione della TARES e, quindi, della vecchia TIA, in quanto ripropone tariffe determinate sulla base di coefficienti di produzione potenziali e non sui reali quantitativi di rifiuti prodotti. </w:t>
      </w:r>
      <w:r w:rsidR="00F54C77" w:rsidRPr="00D42DAC">
        <w:rPr>
          <w:rFonts w:ascii="Verdana" w:hAnsi="Verdana"/>
          <w:sz w:val="20"/>
        </w:rPr>
        <w:t xml:space="preserve">Quello che manca, </w:t>
      </w:r>
      <w:r w:rsidR="00F54C77" w:rsidRPr="00D42DAC">
        <w:rPr>
          <w:rFonts w:ascii="Verdana" w:eastAsia="Arial Unicode MS" w:hAnsi="Verdana"/>
          <w:sz w:val="20"/>
          <w:u w:color="000000"/>
        </w:rPr>
        <w:t xml:space="preserve">ancora una volta, è la volontà di instaurare un legame diretto tra produzione di rifiuto e spesa, secondo il principio comunitario del “chi inquina paga”. In pratica, il mantenimento dei vecchi criteri di produzione “presuntiva” non solo rischia di tradursi in condizioni di costo estremamente diversificate sul territorio a parità di attività economica, </w:t>
      </w:r>
      <w:r w:rsidR="00F54C77" w:rsidRPr="00D42DAC">
        <w:rPr>
          <w:rFonts w:ascii="Verdana" w:hAnsi="Verdana"/>
          <w:sz w:val="20"/>
        </w:rPr>
        <w:t>ma ripresenta tutte le criticità e i limiti che i precedenti regimi di prelievo hanno mostrato e che più volte Confcommercio ha denunciato.</w:t>
      </w:r>
    </w:p>
    <w:p w:rsidR="00F54C77" w:rsidRDefault="00F54C77" w:rsidP="009A5BFD">
      <w:pPr>
        <w:jc w:val="both"/>
        <w:rPr>
          <w:rFonts w:ascii="Verdana" w:hAnsi="Verdana"/>
          <w:b/>
          <w:sz w:val="20"/>
        </w:rPr>
      </w:pPr>
      <w:bookmarkStart w:id="0" w:name="_GoBack"/>
      <w:bookmarkEnd w:id="0"/>
    </w:p>
    <w:p w:rsidR="00A344A3" w:rsidRDefault="00A344A3" w:rsidP="009A5BFD">
      <w:pPr>
        <w:jc w:val="both"/>
        <w:rPr>
          <w:rFonts w:ascii="Verdana" w:hAnsi="Verdana"/>
          <w:b/>
          <w:sz w:val="20"/>
        </w:rPr>
      </w:pPr>
    </w:p>
    <w:p w:rsidR="009A5BFD" w:rsidRPr="00FC6937" w:rsidRDefault="009A5BFD" w:rsidP="009A5BFD">
      <w:pPr>
        <w:jc w:val="both"/>
        <w:rPr>
          <w:rFonts w:ascii="Verdana" w:hAnsi="Verdana"/>
          <w:b/>
          <w:sz w:val="20"/>
        </w:rPr>
      </w:pPr>
      <w:r>
        <w:rPr>
          <w:rFonts w:ascii="Verdana" w:hAnsi="Verdana"/>
          <w:b/>
          <w:sz w:val="20"/>
        </w:rPr>
        <w:t>Gli effetti per le imprese del commercio, del turismo e dei servizi</w:t>
      </w:r>
    </w:p>
    <w:p w:rsidR="00F54C77" w:rsidRDefault="00F54C77" w:rsidP="001E1433">
      <w:pPr>
        <w:autoSpaceDE w:val="0"/>
        <w:autoSpaceDN w:val="0"/>
        <w:adjustRightInd w:val="0"/>
        <w:jc w:val="both"/>
        <w:rPr>
          <w:rFonts w:ascii="Verdana" w:hAnsi="Verdana"/>
          <w:sz w:val="20"/>
        </w:rPr>
      </w:pPr>
    </w:p>
    <w:p w:rsidR="00A344A3" w:rsidRDefault="001E1433" w:rsidP="001E1433">
      <w:pPr>
        <w:autoSpaceDE w:val="0"/>
        <w:autoSpaceDN w:val="0"/>
        <w:adjustRightInd w:val="0"/>
        <w:jc w:val="both"/>
        <w:rPr>
          <w:rFonts w:ascii="Verdana" w:hAnsi="Verdana"/>
          <w:sz w:val="20"/>
        </w:rPr>
      </w:pPr>
      <w:r w:rsidRPr="00D42DAC">
        <w:rPr>
          <w:rFonts w:ascii="Verdana" w:hAnsi="Verdana"/>
          <w:sz w:val="20"/>
        </w:rPr>
        <w:t>Per verificare nel dettaglio l</w:t>
      </w:r>
      <w:r>
        <w:rPr>
          <w:rFonts w:ascii="Verdana" w:hAnsi="Verdana"/>
          <w:sz w:val="20"/>
        </w:rPr>
        <w:t>’</w:t>
      </w:r>
      <w:r w:rsidRPr="00D42DAC">
        <w:rPr>
          <w:rFonts w:ascii="Verdana" w:hAnsi="Verdana"/>
          <w:sz w:val="20"/>
        </w:rPr>
        <w:t xml:space="preserve">andamento delle maggiorazioni tariffarie previste sul territorio nazionale sono stati analizzati i dati di </w:t>
      </w:r>
      <w:r>
        <w:rPr>
          <w:rFonts w:ascii="Verdana" w:hAnsi="Verdana"/>
          <w:sz w:val="20"/>
        </w:rPr>
        <w:t>sei</w:t>
      </w:r>
      <w:r w:rsidRPr="00D42DAC">
        <w:rPr>
          <w:rFonts w:ascii="Verdana" w:hAnsi="Verdana"/>
          <w:sz w:val="20"/>
        </w:rPr>
        <w:t xml:space="preserve"> </w:t>
      </w:r>
      <w:r>
        <w:rPr>
          <w:rFonts w:ascii="Verdana" w:hAnsi="Verdana"/>
          <w:sz w:val="20"/>
        </w:rPr>
        <w:t>grandi R</w:t>
      </w:r>
      <w:r w:rsidRPr="00D42DAC">
        <w:rPr>
          <w:rFonts w:ascii="Verdana" w:hAnsi="Verdana"/>
          <w:sz w:val="20"/>
        </w:rPr>
        <w:t xml:space="preserve">egioni campione (due del Nord, </w:t>
      </w:r>
      <w:r>
        <w:rPr>
          <w:rFonts w:ascii="Verdana" w:hAnsi="Verdana"/>
          <w:sz w:val="20"/>
        </w:rPr>
        <w:t xml:space="preserve">Lombardia e Piemonte, </w:t>
      </w:r>
      <w:r w:rsidRPr="00D42DAC">
        <w:rPr>
          <w:rFonts w:ascii="Verdana" w:hAnsi="Verdana"/>
          <w:sz w:val="20"/>
        </w:rPr>
        <w:t>due del Centro</w:t>
      </w:r>
      <w:r>
        <w:rPr>
          <w:rFonts w:ascii="Verdana" w:hAnsi="Verdana"/>
          <w:sz w:val="20"/>
        </w:rPr>
        <w:t xml:space="preserve">, Toscana e Lazio, </w:t>
      </w:r>
      <w:r w:rsidRPr="00D42DAC">
        <w:rPr>
          <w:rFonts w:ascii="Verdana" w:hAnsi="Verdana"/>
          <w:sz w:val="20"/>
        </w:rPr>
        <w:t>e due del Sud</w:t>
      </w:r>
      <w:r>
        <w:rPr>
          <w:rFonts w:ascii="Verdana" w:hAnsi="Verdana"/>
          <w:sz w:val="20"/>
        </w:rPr>
        <w:t>, Puglia e Sicilia</w:t>
      </w:r>
      <w:r w:rsidRPr="00D42DAC">
        <w:rPr>
          <w:rFonts w:ascii="Verdana" w:hAnsi="Verdana"/>
          <w:sz w:val="20"/>
        </w:rPr>
        <w:t>). E’ stata, quindi, effettuata una comparazione delle tariffe medie effettive applicate dagli enti locali nel sistema di tassazione TARSU dei rifiuti urbani e quelle applicate dagli stessi al momento del passaggio alla tariffa TARES, e che pertanto si ripeterà con il passaggio alla TARI.</w:t>
      </w:r>
      <w:r>
        <w:rPr>
          <w:rFonts w:ascii="Verdana" w:hAnsi="Verdana"/>
          <w:sz w:val="20"/>
        </w:rPr>
        <w:t xml:space="preserve"> </w:t>
      </w:r>
    </w:p>
    <w:p w:rsidR="00A344A3" w:rsidRDefault="00A344A3" w:rsidP="001E1433">
      <w:pPr>
        <w:autoSpaceDE w:val="0"/>
        <w:autoSpaceDN w:val="0"/>
        <w:adjustRightInd w:val="0"/>
        <w:jc w:val="both"/>
        <w:rPr>
          <w:rFonts w:ascii="Verdana" w:hAnsi="Verdana"/>
          <w:sz w:val="20"/>
        </w:rPr>
      </w:pPr>
    </w:p>
    <w:p w:rsidR="001E1433" w:rsidRDefault="006212C3" w:rsidP="001E1433">
      <w:pPr>
        <w:autoSpaceDE w:val="0"/>
        <w:autoSpaceDN w:val="0"/>
        <w:adjustRightInd w:val="0"/>
        <w:jc w:val="both"/>
        <w:rPr>
          <w:rFonts w:ascii="Verdana" w:hAnsi="Verdana"/>
          <w:sz w:val="20"/>
        </w:rPr>
      </w:pPr>
      <w:r w:rsidRPr="00D42DAC">
        <w:rPr>
          <w:rFonts w:ascii="Verdana" w:hAnsi="Verdana"/>
          <w:sz w:val="20"/>
        </w:rPr>
        <w:t xml:space="preserve">Dall’analisi dei dati </w:t>
      </w:r>
      <w:r w:rsidR="0023439D" w:rsidRPr="00D42DAC">
        <w:rPr>
          <w:rFonts w:ascii="Verdana" w:hAnsi="Verdana"/>
          <w:sz w:val="20"/>
        </w:rPr>
        <w:t>(v. tabelle</w:t>
      </w:r>
      <w:r w:rsidR="0023439D">
        <w:rPr>
          <w:rFonts w:ascii="Verdana" w:hAnsi="Verdana"/>
          <w:sz w:val="20"/>
        </w:rPr>
        <w:t xml:space="preserve"> seguenti) </w:t>
      </w:r>
      <w:r w:rsidRPr="00D42DAC">
        <w:rPr>
          <w:rFonts w:ascii="Verdana" w:hAnsi="Verdana"/>
          <w:sz w:val="20"/>
        </w:rPr>
        <w:t xml:space="preserve">emerge un generalizzato e omogeneo aumento della tassazione determinato dal nuovo tributo e la grave incidenza del prelievo sulle </w:t>
      </w:r>
      <w:r>
        <w:rPr>
          <w:rFonts w:ascii="Verdana" w:hAnsi="Verdana"/>
          <w:sz w:val="20"/>
        </w:rPr>
        <w:t xml:space="preserve">attività economiche considerate. </w:t>
      </w:r>
      <w:r w:rsidR="001E1433">
        <w:rPr>
          <w:rFonts w:ascii="Verdana" w:hAnsi="Verdana"/>
          <w:sz w:val="20"/>
        </w:rPr>
        <w:t xml:space="preserve">Secondo l’elaborazione, </w:t>
      </w:r>
      <w:r>
        <w:rPr>
          <w:rFonts w:ascii="Verdana" w:hAnsi="Verdana"/>
          <w:sz w:val="20"/>
        </w:rPr>
        <w:t>l’</w:t>
      </w:r>
      <w:r w:rsidR="001E1433" w:rsidRPr="00F03193">
        <w:rPr>
          <w:rFonts w:ascii="Verdana" w:hAnsi="Verdana"/>
          <w:sz w:val="20"/>
        </w:rPr>
        <w:t xml:space="preserve">incremento medio dei costi per il servizio urbano dei rifiuti </w:t>
      </w:r>
      <w:r w:rsidR="00A344A3">
        <w:rPr>
          <w:rFonts w:ascii="Verdana" w:hAnsi="Verdana"/>
          <w:sz w:val="20"/>
        </w:rPr>
        <w:t xml:space="preserve">nelle regioni considerate </w:t>
      </w:r>
      <w:r>
        <w:rPr>
          <w:rFonts w:ascii="Verdana" w:hAnsi="Verdana"/>
          <w:sz w:val="20"/>
        </w:rPr>
        <w:t xml:space="preserve">sarà </w:t>
      </w:r>
      <w:r w:rsidR="001E1433" w:rsidRPr="00F03193">
        <w:rPr>
          <w:rFonts w:ascii="Verdana" w:hAnsi="Verdana"/>
          <w:sz w:val="20"/>
        </w:rPr>
        <w:t xml:space="preserve">del </w:t>
      </w:r>
      <w:r w:rsidR="001E1433">
        <w:rPr>
          <w:rFonts w:ascii="Verdana" w:hAnsi="Verdana"/>
          <w:sz w:val="20"/>
        </w:rPr>
        <w:t>302</w:t>
      </w:r>
      <w:r w:rsidR="001E1433" w:rsidRPr="00F03193">
        <w:rPr>
          <w:rFonts w:ascii="Verdana" w:hAnsi="Verdana"/>
          <w:sz w:val="20"/>
        </w:rPr>
        <w:t xml:space="preserve">% </w:t>
      </w:r>
      <w:r w:rsidR="001E1433">
        <w:rPr>
          <w:rFonts w:ascii="Verdana" w:hAnsi="Verdana"/>
          <w:sz w:val="20"/>
        </w:rPr>
        <w:t xml:space="preserve">con punte, sempre in media, particolarmente elevate </w:t>
      </w:r>
      <w:r w:rsidR="001E1433" w:rsidRPr="00F03193">
        <w:rPr>
          <w:rFonts w:ascii="Verdana" w:hAnsi="Verdana"/>
          <w:sz w:val="20"/>
        </w:rPr>
        <w:t>per alcune tipologie di attività</w:t>
      </w:r>
      <w:r w:rsidR="001E1433">
        <w:rPr>
          <w:rFonts w:ascii="Verdana" w:hAnsi="Verdana"/>
          <w:sz w:val="20"/>
        </w:rPr>
        <w:t>: +627% per un fruttivendolo, una pescheria o un fioraio</w:t>
      </w:r>
      <w:r w:rsidR="00A344A3">
        <w:rPr>
          <w:rFonts w:ascii="Verdana" w:hAnsi="Verdana"/>
          <w:sz w:val="20"/>
        </w:rPr>
        <w:t xml:space="preserve"> (sup. media 100</w:t>
      </w:r>
      <w:r w:rsidR="0023439D">
        <w:rPr>
          <w:rFonts w:ascii="Verdana" w:hAnsi="Verdana"/>
          <w:sz w:val="20"/>
        </w:rPr>
        <w:t xml:space="preserve"> </w:t>
      </w:r>
      <w:r w:rsidR="00A344A3">
        <w:rPr>
          <w:rFonts w:ascii="Verdana" w:hAnsi="Verdana"/>
          <w:sz w:val="20"/>
        </w:rPr>
        <w:t>mq)</w:t>
      </w:r>
      <w:r w:rsidR="001E1433">
        <w:rPr>
          <w:rFonts w:ascii="Verdana" w:hAnsi="Verdana"/>
          <w:sz w:val="20"/>
        </w:rPr>
        <w:t>; +568% per una discoteca o un night club</w:t>
      </w:r>
      <w:r w:rsidR="00A344A3">
        <w:rPr>
          <w:rFonts w:ascii="Verdana" w:hAnsi="Verdana"/>
          <w:sz w:val="20"/>
        </w:rPr>
        <w:t xml:space="preserve"> (sup. media 200 mq)</w:t>
      </w:r>
      <w:r w:rsidR="001E1433">
        <w:rPr>
          <w:rFonts w:ascii="Verdana" w:hAnsi="Verdana"/>
          <w:sz w:val="20"/>
        </w:rPr>
        <w:t>; +548% per un ristorante o una pizzeria</w:t>
      </w:r>
      <w:r w:rsidR="00A344A3">
        <w:rPr>
          <w:rFonts w:ascii="Verdana" w:hAnsi="Verdana"/>
          <w:sz w:val="20"/>
        </w:rPr>
        <w:t xml:space="preserve"> (sup media 200 mq)</w:t>
      </w:r>
      <w:r w:rsidR="001E1433">
        <w:rPr>
          <w:rFonts w:ascii="Verdana" w:hAnsi="Verdana"/>
          <w:sz w:val="20"/>
        </w:rPr>
        <w:t>;</w:t>
      </w:r>
      <w:r>
        <w:rPr>
          <w:rFonts w:ascii="Verdana" w:hAnsi="Verdana"/>
          <w:sz w:val="20"/>
        </w:rPr>
        <w:t xml:space="preserve"> </w:t>
      </w:r>
      <w:r w:rsidR="0023439D">
        <w:rPr>
          <w:rFonts w:ascii="Verdana" w:hAnsi="Verdana"/>
          <w:sz w:val="20"/>
        </w:rPr>
        <w:t>ma aumenti molto consistenti si avranno anche per un negozio di alimentari (+237%, sup. media 300 mq) o</w:t>
      </w:r>
      <w:r w:rsidR="001E1433">
        <w:rPr>
          <w:rFonts w:ascii="Verdana" w:hAnsi="Verdana"/>
          <w:sz w:val="20"/>
        </w:rPr>
        <w:t xml:space="preserve"> per un </w:t>
      </w:r>
      <w:r>
        <w:rPr>
          <w:rFonts w:ascii="Verdana" w:hAnsi="Verdana"/>
          <w:sz w:val="20"/>
        </w:rPr>
        <w:t xml:space="preserve">albergo senza ristorante </w:t>
      </w:r>
      <w:r w:rsidR="00A344A3">
        <w:rPr>
          <w:rFonts w:ascii="Verdana" w:hAnsi="Verdana"/>
          <w:sz w:val="20"/>
        </w:rPr>
        <w:t>(</w:t>
      </w:r>
      <w:r w:rsidR="0023439D">
        <w:rPr>
          <w:rFonts w:ascii="Verdana" w:hAnsi="Verdana"/>
          <w:sz w:val="20"/>
        </w:rPr>
        <w:t xml:space="preserve">+216%, </w:t>
      </w:r>
      <w:r w:rsidR="00A344A3">
        <w:rPr>
          <w:rFonts w:ascii="Verdana" w:hAnsi="Verdana"/>
          <w:sz w:val="20"/>
        </w:rPr>
        <w:t>sup. media</w:t>
      </w:r>
      <w:r w:rsidR="0023439D">
        <w:rPr>
          <w:rFonts w:ascii="Verdana" w:hAnsi="Verdana"/>
          <w:sz w:val="20"/>
        </w:rPr>
        <w:t xml:space="preserve"> </w:t>
      </w:r>
      <w:r w:rsidR="00A344A3">
        <w:rPr>
          <w:rFonts w:ascii="Verdana" w:hAnsi="Verdana"/>
          <w:sz w:val="20"/>
        </w:rPr>
        <w:t>200 mq)</w:t>
      </w:r>
      <w:r>
        <w:rPr>
          <w:rFonts w:ascii="Verdana" w:hAnsi="Verdana"/>
          <w:sz w:val="20"/>
        </w:rPr>
        <w:t>.</w:t>
      </w:r>
    </w:p>
    <w:p w:rsidR="00A344A3" w:rsidRDefault="00A344A3" w:rsidP="008F7451">
      <w:pPr>
        <w:autoSpaceDE w:val="0"/>
        <w:autoSpaceDN w:val="0"/>
        <w:adjustRightInd w:val="0"/>
        <w:jc w:val="both"/>
        <w:rPr>
          <w:rFonts w:ascii="Verdana" w:hAnsi="Verdana"/>
          <w:sz w:val="20"/>
        </w:rPr>
      </w:pPr>
    </w:p>
    <w:p w:rsidR="009A5BFD" w:rsidRDefault="008F7451" w:rsidP="008F7451">
      <w:pPr>
        <w:autoSpaceDE w:val="0"/>
        <w:autoSpaceDN w:val="0"/>
        <w:adjustRightInd w:val="0"/>
        <w:jc w:val="both"/>
        <w:rPr>
          <w:rFonts w:ascii="Verdana" w:hAnsi="Verdana"/>
          <w:sz w:val="20"/>
        </w:rPr>
      </w:pPr>
      <w:r>
        <w:rPr>
          <w:rFonts w:ascii="Verdana" w:hAnsi="Verdana"/>
          <w:sz w:val="20"/>
        </w:rPr>
        <w:t>R</w:t>
      </w:r>
      <w:r w:rsidR="009A5BFD">
        <w:rPr>
          <w:rFonts w:ascii="Verdana" w:hAnsi="Verdana"/>
          <w:sz w:val="20"/>
        </w:rPr>
        <w:t>isulta</w:t>
      </w:r>
      <w:r>
        <w:rPr>
          <w:rFonts w:ascii="Verdana" w:hAnsi="Verdana"/>
          <w:sz w:val="20"/>
        </w:rPr>
        <w:t>, dunque,</w:t>
      </w:r>
      <w:r w:rsidR="009A5BFD">
        <w:rPr>
          <w:rFonts w:ascii="Verdana" w:hAnsi="Verdana"/>
          <w:sz w:val="20"/>
        </w:rPr>
        <w:t xml:space="preserve"> in maniera evidente il pesante aumento di fiscalità che </w:t>
      </w:r>
      <w:r w:rsidR="009A5BFD" w:rsidRPr="00F03193">
        <w:rPr>
          <w:rFonts w:ascii="Verdana" w:hAnsi="Verdana"/>
          <w:sz w:val="20"/>
        </w:rPr>
        <w:t xml:space="preserve">il passaggio al nuovo tributo dal 1° gennaio 2014 </w:t>
      </w:r>
      <w:r w:rsidR="009A5BFD">
        <w:rPr>
          <w:rFonts w:ascii="Verdana" w:hAnsi="Verdana"/>
          <w:sz w:val="20"/>
        </w:rPr>
        <w:t>comporta. Una situazione che</w:t>
      </w:r>
      <w:r w:rsidR="009A5BFD" w:rsidRPr="00F03193">
        <w:rPr>
          <w:rFonts w:ascii="Verdana" w:hAnsi="Verdana"/>
          <w:sz w:val="20"/>
        </w:rPr>
        <w:t xml:space="preserve">, anche in considerazione dell’attuale crisi economica, </w:t>
      </w:r>
      <w:r w:rsidR="009A5BFD">
        <w:rPr>
          <w:rFonts w:ascii="Verdana" w:hAnsi="Verdana"/>
          <w:sz w:val="20"/>
        </w:rPr>
        <w:t xml:space="preserve">è </w:t>
      </w:r>
      <w:r w:rsidR="009A5BFD" w:rsidRPr="00F03193">
        <w:rPr>
          <w:rFonts w:ascii="Verdana" w:hAnsi="Verdana"/>
          <w:sz w:val="20"/>
        </w:rPr>
        <w:t>davvero insostenibile per imprese</w:t>
      </w:r>
      <w:r w:rsidR="009A5BFD">
        <w:rPr>
          <w:rFonts w:ascii="Verdana" w:hAnsi="Verdana"/>
          <w:sz w:val="20"/>
        </w:rPr>
        <w:t xml:space="preserve"> e famiglie con conseguenti </w:t>
      </w:r>
      <w:r w:rsidR="009A5BFD" w:rsidRPr="00F03193">
        <w:rPr>
          <w:rFonts w:ascii="Verdana" w:hAnsi="Verdana"/>
          <w:sz w:val="20"/>
        </w:rPr>
        <w:t>effetti in termini di riduzione dei consumi.</w:t>
      </w:r>
    </w:p>
    <w:p w:rsidR="006212C3" w:rsidRDefault="006212C3" w:rsidP="008F7451">
      <w:pPr>
        <w:autoSpaceDE w:val="0"/>
        <w:autoSpaceDN w:val="0"/>
        <w:adjustRightInd w:val="0"/>
        <w:jc w:val="both"/>
        <w:rPr>
          <w:rFonts w:ascii="Verdana" w:hAnsi="Verdana"/>
          <w:sz w:val="20"/>
        </w:rPr>
      </w:pPr>
    </w:p>
    <w:p w:rsidR="00A344A3" w:rsidRDefault="00A344A3" w:rsidP="008F7451">
      <w:pPr>
        <w:autoSpaceDE w:val="0"/>
        <w:autoSpaceDN w:val="0"/>
        <w:adjustRightInd w:val="0"/>
        <w:jc w:val="both"/>
        <w:rPr>
          <w:rFonts w:ascii="Verdana" w:hAnsi="Verdana"/>
          <w:sz w:val="20"/>
        </w:rPr>
      </w:pPr>
    </w:p>
    <w:p w:rsidR="00F54C77" w:rsidRDefault="00F54C77" w:rsidP="008F7451">
      <w:pPr>
        <w:autoSpaceDE w:val="0"/>
        <w:autoSpaceDN w:val="0"/>
        <w:adjustRightInd w:val="0"/>
        <w:jc w:val="both"/>
        <w:rPr>
          <w:rFonts w:ascii="Verdana" w:hAnsi="Verdana"/>
          <w:sz w:val="20"/>
        </w:rPr>
      </w:pPr>
    </w:p>
    <w:p w:rsidR="006212C3" w:rsidRPr="00E32157" w:rsidRDefault="006212C3" w:rsidP="006212C3">
      <w:pPr>
        <w:pStyle w:val="Titolo1"/>
        <w:shd w:val="clear" w:color="auto" w:fill="FFFFFF"/>
        <w:jc w:val="left"/>
        <w:rPr>
          <w:rFonts w:ascii="Verdana" w:hAnsi="Verdana"/>
          <w:b/>
          <w:sz w:val="20"/>
          <w:szCs w:val="20"/>
        </w:rPr>
      </w:pPr>
      <w:r w:rsidRPr="00E32157">
        <w:rPr>
          <w:rFonts w:ascii="Verdana" w:hAnsi="Verdana"/>
          <w:b/>
          <w:sz w:val="20"/>
          <w:szCs w:val="20"/>
        </w:rPr>
        <w:t>P</w:t>
      </w:r>
      <w:r>
        <w:rPr>
          <w:rFonts w:ascii="Verdana" w:hAnsi="Verdana"/>
          <w:b/>
          <w:sz w:val="20"/>
          <w:szCs w:val="20"/>
        </w:rPr>
        <w:t>roposte</w:t>
      </w:r>
    </w:p>
    <w:p w:rsidR="00F54C77" w:rsidRDefault="00F54C77" w:rsidP="006212C3">
      <w:pPr>
        <w:jc w:val="both"/>
        <w:rPr>
          <w:rFonts w:ascii="Verdana" w:hAnsi="Verdana"/>
          <w:sz w:val="20"/>
        </w:rPr>
      </w:pPr>
    </w:p>
    <w:p w:rsidR="006212C3" w:rsidRDefault="006212C3" w:rsidP="006212C3">
      <w:pPr>
        <w:jc w:val="both"/>
        <w:rPr>
          <w:rFonts w:ascii="Verdana" w:hAnsi="Verdana"/>
          <w:sz w:val="20"/>
        </w:rPr>
      </w:pPr>
      <w:r w:rsidRPr="00FC6937">
        <w:rPr>
          <w:rFonts w:ascii="Verdana" w:hAnsi="Verdana"/>
          <w:sz w:val="20"/>
        </w:rPr>
        <w:t>Per superare queste criticità, secondo Confcommercio occorre rivedere completamente la struttura dell’attuale sistema di prelievo affinché, in conformità con il principio comunitario del “chi inquina paga”, lo stesso rifletta in modo puntuale la reale produzione dei rifiuti da parte delle utenze domestiche e non domestiche.</w:t>
      </w:r>
      <w:r>
        <w:rPr>
          <w:rFonts w:ascii="Verdana" w:hAnsi="Verdana"/>
          <w:sz w:val="20"/>
        </w:rPr>
        <w:t xml:space="preserve"> </w:t>
      </w:r>
      <w:r w:rsidRPr="00FC6937">
        <w:rPr>
          <w:rFonts w:ascii="Verdana" w:hAnsi="Verdana"/>
          <w:sz w:val="20"/>
        </w:rPr>
        <w:t xml:space="preserve">Bisogna, poi, ridisegnare gli indici e le voci di costo che determinano i coefficienti in termini di ripartizione tra quota fissa e variabile e tra componente domestica e non domestica. E allo stesso modo è importante formalizzare specifiche linee guida tecnico-operative per </w:t>
      </w:r>
      <w:r w:rsidRPr="00FC6937">
        <w:rPr>
          <w:rFonts w:ascii="Verdana" w:hAnsi="Verdana"/>
          <w:sz w:val="20"/>
        </w:rPr>
        <w:lastRenderedPageBreak/>
        <w:t xml:space="preserve">individuare un </w:t>
      </w:r>
      <w:r w:rsidRPr="000A58A4">
        <w:rPr>
          <w:rFonts w:ascii="Verdana" w:hAnsi="Verdana"/>
          <w:i/>
          <w:sz w:val="20"/>
        </w:rPr>
        <w:t>range</w:t>
      </w:r>
      <w:r w:rsidRPr="00FC6937">
        <w:rPr>
          <w:rFonts w:ascii="Verdana" w:hAnsi="Verdana"/>
          <w:sz w:val="20"/>
        </w:rPr>
        <w:t xml:space="preserve"> di costi </w:t>
      </w:r>
      <w:r>
        <w:rPr>
          <w:rFonts w:ascii="Verdana" w:hAnsi="Verdana"/>
          <w:sz w:val="20"/>
        </w:rPr>
        <w:t xml:space="preserve">standard </w:t>
      </w:r>
      <w:r w:rsidRPr="00FC6937">
        <w:rPr>
          <w:rFonts w:ascii="Verdana" w:hAnsi="Verdana"/>
          <w:sz w:val="20"/>
        </w:rPr>
        <w:t>a totale copertura del servizio, affinché anche questa voce possa venire imputata, da parte dei comuni, in maniera uniforme sul territorio.</w:t>
      </w:r>
      <w:r>
        <w:rPr>
          <w:rFonts w:ascii="Verdana" w:hAnsi="Verdana"/>
          <w:sz w:val="20"/>
        </w:rPr>
        <w:t xml:space="preserve"> </w:t>
      </w:r>
    </w:p>
    <w:p w:rsidR="00A344A3" w:rsidRDefault="00A344A3" w:rsidP="006212C3">
      <w:pPr>
        <w:jc w:val="both"/>
        <w:rPr>
          <w:rFonts w:ascii="Verdana" w:hAnsi="Verdana"/>
          <w:sz w:val="20"/>
        </w:rPr>
      </w:pPr>
    </w:p>
    <w:p w:rsidR="006212C3" w:rsidRPr="00FC6937" w:rsidRDefault="006212C3" w:rsidP="006212C3">
      <w:pPr>
        <w:jc w:val="both"/>
        <w:rPr>
          <w:rFonts w:ascii="Verdana" w:hAnsi="Verdana"/>
          <w:sz w:val="20"/>
        </w:rPr>
      </w:pPr>
      <w:r w:rsidRPr="00FC6937">
        <w:rPr>
          <w:rFonts w:ascii="Verdana" w:hAnsi="Verdana"/>
          <w:sz w:val="20"/>
        </w:rPr>
        <w:t>In particolare, occorre individuare e definire in maniera puntuale:</w:t>
      </w:r>
    </w:p>
    <w:p w:rsidR="006212C3" w:rsidRPr="0024714F" w:rsidRDefault="006212C3" w:rsidP="006212C3">
      <w:pPr>
        <w:autoSpaceDE w:val="0"/>
        <w:autoSpaceDN w:val="0"/>
        <w:adjustRightInd w:val="0"/>
        <w:jc w:val="both"/>
        <w:rPr>
          <w:rFonts w:ascii="Verdana" w:hAnsi="Verdana"/>
          <w:color w:val="333333"/>
          <w:sz w:val="20"/>
        </w:rPr>
      </w:pPr>
    </w:p>
    <w:p w:rsidR="006212C3" w:rsidRDefault="006212C3" w:rsidP="006212C3">
      <w:pPr>
        <w:pStyle w:val="Paragrafoelenco"/>
        <w:numPr>
          <w:ilvl w:val="0"/>
          <w:numId w:val="6"/>
        </w:numPr>
        <w:spacing w:after="0" w:line="240" w:lineRule="auto"/>
        <w:jc w:val="both"/>
        <w:rPr>
          <w:rFonts w:ascii="Verdana" w:hAnsi="Verdana"/>
          <w:sz w:val="20"/>
        </w:rPr>
      </w:pPr>
      <w:r w:rsidRPr="00D42DAC">
        <w:rPr>
          <w:rFonts w:ascii="Verdana" w:hAnsi="Verdana"/>
          <w:sz w:val="20"/>
        </w:rPr>
        <w:t>costi del servizio: avvicinare e rendere operativo il riferimento ai fabbisogni standard cui il comune deve riferirsi nella determinazione dei costi del servizio (ma solo a partire dal 2016) determinando nelle more di linee guida specifiche, un preciso range dal quale i comuni non possano discostarsi;</w:t>
      </w:r>
    </w:p>
    <w:p w:rsidR="006212C3" w:rsidRPr="00D42DAC" w:rsidRDefault="006212C3" w:rsidP="006212C3">
      <w:pPr>
        <w:pStyle w:val="Paragrafoelenco"/>
        <w:numPr>
          <w:ilvl w:val="0"/>
          <w:numId w:val="6"/>
        </w:numPr>
        <w:spacing w:after="0" w:line="240" w:lineRule="auto"/>
        <w:jc w:val="both"/>
        <w:rPr>
          <w:rFonts w:ascii="Verdana" w:hAnsi="Verdana"/>
          <w:sz w:val="20"/>
        </w:rPr>
      </w:pPr>
      <w:r w:rsidRPr="00D42DAC">
        <w:rPr>
          <w:rFonts w:ascii="Verdana" w:hAnsi="Verdana"/>
          <w:sz w:val="20"/>
        </w:rPr>
        <w:t>utenze domestiche e non domestiche: prevedere criteri oggetti</w:t>
      </w:r>
      <w:r>
        <w:rPr>
          <w:rFonts w:ascii="Verdana" w:hAnsi="Verdana"/>
          <w:sz w:val="20"/>
        </w:rPr>
        <w:t>vi</w:t>
      </w:r>
      <w:r w:rsidRPr="00D42DAC">
        <w:rPr>
          <w:rFonts w:ascii="Verdana" w:hAnsi="Verdana"/>
          <w:sz w:val="20"/>
        </w:rPr>
        <w:t xml:space="preserve"> per la ripartizione del peso del nuovo tributo;</w:t>
      </w:r>
    </w:p>
    <w:p w:rsidR="006212C3" w:rsidRDefault="006212C3" w:rsidP="006212C3">
      <w:pPr>
        <w:numPr>
          <w:ilvl w:val="0"/>
          <w:numId w:val="6"/>
        </w:numPr>
        <w:jc w:val="both"/>
        <w:rPr>
          <w:rFonts w:ascii="Verdana" w:eastAsia="Calibri" w:hAnsi="Verdana"/>
          <w:sz w:val="20"/>
        </w:rPr>
      </w:pPr>
      <w:r>
        <w:rPr>
          <w:rFonts w:ascii="Verdana" w:eastAsia="Calibri" w:hAnsi="Verdana"/>
          <w:sz w:val="20"/>
        </w:rPr>
        <w:t>coefficienti: superare la logica presuntiva del cd. Metodo normalizzato e introdurre coefficienti di produttività determinati sulla base di campagne di pesatura che rispecchino la reale produzione di rifiuti;</w:t>
      </w:r>
    </w:p>
    <w:p w:rsidR="006212C3" w:rsidRPr="00360B4A" w:rsidRDefault="006212C3" w:rsidP="006212C3">
      <w:pPr>
        <w:numPr>
          <w:ilvl w:val="0"/>
          <w:numId w:val="6"/>
        </w:numPr>
        <w:shd w:val="clear" w:color="auto" w:fill="FFFFFF"/>
        <w:jc w:val="both"/>
        <w:rPr>
          <w:rFonts w:ascii="Verdana" w:hAnsi="Verdana"/>
          <w:b/>
          <w:sz w:val="20"/>
        </w:rPr>
      </w:pPr>
      <w:r w:rsidRPr="00360B4A">
        <w:rPr>
          <w:rFonts w:ascii="Verdana" w:eastAsia="Calibri" w:hAnsi="Verdana"/>
          <w:sz w:val="20"/>
        </w:rPr>
        <w:t xml:space="preserve">agevolazioni/riduzioni: introdurre criteri premiali per la raccolta differenziata e </w:t>
      </w:r>
      <w:r w:rsidRPr="00360B4A">
        <w:rPr>
          <w:rFonts w:ascii="Verdana" w:hAnsi="Verdana"/>
          <w:sz w:val="20"/>
        </w:rPr>
        <w:t>riconoscere le differenze di qualità del rifiuto prodotto (alleggerendo il carico sulle attività economiche a elevata produzione di rifiuto differenziato) e di quantità (considerando la stagionalità di alcune attività).</w:t>
      </w:r>
    </w:p>
    <w:p w:rsidR="00A344A3" w:rsidRDefault="00A344A3">
      <w:pPr>
        <w:rPr>
          <w:rFonts w:ascii="Verdana" w:hAnsi="Verdana"/>
          <w:color w:val="333333"/>
          <w:sz w:val="20"/>
        </w:rPr>
      </w:pPr>
      <w:r>
        <w:rPr>
          <w:rFonts w:ascii="Verdana" w:hAnsi="Verdana"/>
          <w:color w:val="333333"/>
          <w:sz w:val="20"/>
        </w:rPr>
        <w:br w:type="page"/>
      </w:r>
    </w:p>
    <w:p w:rsidR="006212C3" w:rsidRDefault="006212C3" w:rsidP="008F7451">
      <w:pPr>
        <w:autoSpaceDE w:val="0"/>
        <w:autoSpaceDN w:val="0"/>
        <w:adjustRightInd w:val="0"/>
        <w:jc w:val="both"/>
        <w:rPr>
          <w:rFonts w:ascii="Verdana" w:hAnsi="Verdana"/>
          <w:color w:val="333333"/>
          <w:sz w:val="20"/>
        </w:rPr>
      </w:pPr>
    </w:p>
    <w:p w:rsidR="00A344A3" w:rsidRDefault="00A344A3" w:rsidP="008F7451">
      <w:pPr>
        <w:autoSpaceDE w:val="0"/>
        <w:autoSpaceDN w:val="0"/>
        <w:adjustRightInd w:val="0"/>
        <w:jc w:val="both"/>
        <w:rPr>
          <w:rFonts w:ascii="Verdana" w:hAnsi="Verdana"/>
          <w:color w:val="333333"/>
          <w:sz w:val="20"/>
        </w:rPr>
      </w:pPr>
    </w:p>
    <w:p w:rsidR="009A5BFD" w:rsidRPr="00F54C77" w:rsidRDefault="009A5BFD" w:rsidP="00817307">
      <w:pPr>
        <w:autoSpaceDE w:val="0"/>
        <w:autoSpaceDN w:val="0"/>
        <w:adjustRightInd w:val="0"/>
        <w:rPr>
          <w:rFonts w:ascii="Verdana" w:hAnsi="Verdana"/>
          <w:b/>
          <w:sz w:val="20"/>
        </w:rPr>
      </w:pPr>
      <w:r w:rsidRPr="00F54C77">
        <w:rPr>
          <w:rFonts w:ascii="Verdana" w:hAnsi="Verdana"/>
          <w:b/>
          <w:sz w:val="20"/>
        </w:rPr>
        <w:t>L</w:t>
      </w:r>
      <w:r w:rsidR="00F54C77" w:rsidRPr="00F54C77">
        <w:rPr>
          <w:rFonts w:ascii="Verdana" w:hAnsi="Verdana"/>
          <w:b/>
          <w:sz w:val="20"/>
        </w:rPr>
        <w:t xml:space="preserve">ombardia - </w:t>
      </w:r>
      <w:r w:rsidR="00F54C77" w:rsidRPr="00F54C77">
        <w:rPr>
          <w:rFonts w:ascii="Verdana" w:eastAsia="Times New Roman" w:hAnsi="Verdana"/>
          <w:b/>
          <w:bCs/>
          <w:color w:val="000000"/>
          <w:sz w:val="20"/>
        </w:rPr>
        <w:t>Incrementi derivanti dal passaggio da tassa a tariffa</w:t>
      </w:r>
    </w:p>
    <w:tbl>
      <w:tblPr>
        <w:tblW w:w="8095" w:type="dxa"/>
        <w:tblInd w:w="55" w:type="dxa"/>
        <w:tblCellMar>
          <w:left w:w="70" w:type="dxa"/>
          <w:right w:w="70" w:type="dxa"/>
        </w:tblCellMar>
        <w:tblLook w:val="04A0" w:firstRow="1" w:lastRow="0" w:firstColumn="1" w:lastColumn="0" w:noHBand="0" w:noVBand="1"/>
      </w:tblPr>
      <w:tblGrid>
        <w:gridCol w:w="6203"/>
        <w:gridCol w:w="1892"/>
      </w:tblGrid>
      <w:tr w:rsidR="00817307" w:rsidRPr="00F54C77" w:rsidTr="00B46F2C">
        <w:trPr>
          <w:trHeight w:val="454"/>
        </w:trPr>
        <w:tc>
          <w:tcPr>
            <w:tcW w:w="6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307" w:rsidRPr="00F54C77" w:rsidRDefault="00817307" w:rsidP="00B46F2C">
            <w:pPr>
              <w:rPr>
                <w:rFonts w:ascii="Verdana" w:eastAsia="Times New Roman" w:hAnsi="Verdana"/>
                <w:b/>
                <w:bCs/>
                <w:color w:val="000000"/>
                <w:sz w:val="20"/>
              </w:rPr>
            </w:pPr>
            <w:r w:rsidRPr="00F54C77">
              <w:rPr>
                <w:rFonts w:ascii="Verdana" w:eastAsia="Times New Roman" w:hAnsi="Verdana"/>
                <w:b/>
                <w:bCs/>
                <w:color w:val="000000"/>
                <w:sz w:val="20"/>
              </w:rPr>
              <w:t>Categorie economiche</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817307" w:rsidRPr="00F54C77" w:rsidRDefault="00817307" w:rsidP="00817307">
            <w:pPr>
              <w:jc w:val="center"/>
              <w:rPr>
                <w:rFonts w:ascii="Verdana" w:eastAsia="Times New Roman" w:hAnsi="Verdana"/>
                <w:b/>
                <w:bCs/>
                <w:color w:val="000000"/>
                <w:sz w:val="20"/>
              </w:rPr>
            </w:pPr>
            <w:r w:rsidRPr="00F54C77">
              <w:rPr>
                <w:rFonts w:ascii="Verdana" w:eastAsia="Times New Roman" w:hAnsi="Verdana"/>
                <w:b/>
                <w:bCs/>
                <w:color w:val="000000"/>
                <w:sz w:val="20"/>
              </w:rPr>
              <w:t>Incremento %</w:t>
            </w:r>
          </w:p>
        </w:tc>
      </w:tr>
      <w:tr w:rsidR="0081730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817307" w:rsidRPr="00F54C77" w:rsidRDefault="00817307" w:rsidP="00817307">
            <w:pPr>
              <w:rPr>
                <w:rFonts w:ascii="Verdana" w:eastAsia="Times New Roman" w:hAnsi="Verdana"/>
                <w:color w:val="000000"/>
                <w:sz w:val="20"/>
              </w:rPr>
            </w:pPr>
            <w:r w:rsidRPr="00F54C77">
              <w:rPr>
                <w:rFonts w:ascii="Verdana" w:eastAsia="Times New Roman" w:hAnsi="Verdana"/>
                <w:color w:val="000000"/>
                <w:sz w:val="20"/>
              </w:rPr>
              <w:t>Campeggi, distributori carburanti</w:t>
            </w:r>
          </w:p>
        </w:tc>
        <w:tc>
          <w:tcPr>
            <w:tcW w:w="1892" w:type="dxa"/>
            <w:tcBorders>
              <w:top w:val="nil"/>
              <w:left w:val="nil"/>
              <w:bottom w:val="single" w:sz="4" w:space="0" w:color="auto"/>
              <w:right w:val="single" w:sz="4" w:space="0" w:color="auto"/>
            </w:tcBorders>
            <w:shd w:val="clear" w:color="auto" w:fill="auto"/>
            <w:noWrap/>
            <w:vAlign w:val="bottom"/>
            <w:hideMark/>
          </w:tcPr>
          <w:p w:rsidR="00817307" w:rsidRPr="00F54C77" w:rsidRDefault="00817307" w:rsidP="00817307">
            <w:pPr>
              <w:jc w:val="right"/>
              <w:rPr>
                <w:rFonts w:ascii="Verdana" w:eastAsia="Times New Roman" w:hAnsi="Verdana"/>
                <w:sz w:val="20"/>
              </w:rPr>
            </w:pPr>
            <w:r w:rsidRPr="00F54C77">
              <w:rPr>
                <w:rFonts w:ascii="Verdana" w:eastAsia="Times New Roman" w:hAnsi="Verdana"/>
                <w:sz w:val="20"/>
              </w:rPr>
              <w:t>100%</w:t>
            </w:r>
          </w:p>
        </w:tc>
      </w:tr>
      <w:tr w:rsidR="0081730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817307" w:rsidRPr="00F54C77" w:rsidRDefault="00817307" w:rsidP="00817307">
            <w:pPr>
              <w:rPr>
                <w:rFonts w:ascii="Verdana" w:eastAsia="Times New Roman" w:hAnsi="Verdana"/>
                <w:color w:val="000000"/>
                <w:sz w:val="20"/>
              </w:rPr>
            </w:pPr>
            <w:r w:rsidRPr="00F54C77">
              <w:rPr>
                <w:rFonts w:ascii="Verdana" w:eastAsia="Times New Roman" w:hAnsi="Verdana"/>
                <w:color w:val="000000"/>
                <w:sz w:val="20"/>
              </w:rPr>
              <w:t>Alberghi con ristorante</w:t>
            </w:r>
          </w:p>
        </w:tc>
        <w:tc>
          <w:tcPr>
            <w:tcW w:w="1892" w:type="dxa"/>
            <w:tcBorders>
              <w:top w:val="nil"/>
              <w:left w:val="nil"/>
              <w:bottom w:val="single" w:sz="4" w:space="0" w:color="auto"/>
              <w:right w:val="single" w:sz="4" w:space="0" w:color="auto"/>
            </w:tcBorders>
            <w:shd w:val="clear" w:color="auto" w:fill="auto"/>
            <w:noWrap/>
            <w:vAlign w:val="bottom"/>
            <w:hideMark/>
          </w:tcPr>
          <w:p w:rsidR="00817307" w:rsidRPr="00F54C77" w:rsidRDefault="00817307" w:rsidP="00817307">
            <w:pPr>
              <w:jc w:val="right"/>
              <w:rPr>
                <w:rFonts w:ascii="Verdana" w:eastAsia="Times New Roman" w:hAnsi="Verdana"/>
                <w:sz w:val="20"/>
              </w:rPr>
            </w:pPr>
            <w:r w:rsidRPr="00F54C77">
              <w:rPr>
                <w:rFonts w:ascii="Verdana" w:eastAsia="Times New Roman" w:hAnsi="Verdana"/>
                <w:sz w:val="20"/>
              </w:rPr>
              <w:t>220%</w:t>
            </w:r>
          </w:p>
        </w:tc>
      </w:tr>
      <w:tr w:rsidR="0081730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817307" w:rsidRPr="00F54C77" w:rsidRDefault="00817307" w:rsidP="00817307">
            <w:pPr>
              <w:rPr>
                <w:rFonts w:ascii="Verdana" w:eastAsia="Times New Roman" w:hAnsi="Verdana"/>
                <w:color w:val="000000"/>
                <w:sz w:val="20"/>
              </w:rPr>
            </w:pPr>
            <w:r w:rsidRPr="00F54C77">
              <w:rPr>
                <w:rFonts w:ascii="Verdana" w:eastAsia="Times New Roman" w:hAnsi="Verdana"/>
                <w:color w:val="000000"/>
                <w:sz w:val="20"/>
              </w:rPr>
              <w:t>Alberghi senza ristorante</w:t>
            </w:r>
          </w:p>
        </w:tc>
        <w:tc>
          <w:tcPr>
            <w:tcW w:w="1892" w:type="dxa"/>
            <w:tcBorders>
              <w:top w:val="nil"/>
              <w:left w:val="nil"/>
              <w:bottom w:val="single" w:sz="4" w:space="0" w:color="auto"/>
              <w:right w:val="single" w:sz="4" w:space="0" w:color="auto"/>
            </w:tcBorders>
            <w:shd w:val="clear" w:color="auto" w:fill="auto"/>
            <w:noWrap/>
            <w:vAlign w:val="bottom"/>
            <w:hideMark/>
          </w:tcPr>
          <w:p w:rsidR="00817307" w:rsidRPr="00F54C77" w:rsidRDefault="00817307" w:rsidP="00817307">
            <w:pPr>
              <w:jc w:val="right"/>
              <w:rPr>
                <w:rFonts w:ascii="Verdana" w:eastAsia="Times New Roman" w:hAnsi="Verdana"/>
                <w:sz w:val="20"/>
              </w:rPr>
            </w:pPr>
            <w:r w:rsidRPr="00F54C77">
              <w:rPr>
                <w:rFonts w:ascii="Verdana" w:eastAsia="Times New Roman" w:hAnsi="Verdana"/>
                <w:sz w:val="20"/>
              </w:rPr>
              <w:t>110%</w:t>
            </w:r>
          </w:p>
        </w:tc>
      </w:tr>
      <w:tr w:rsidR="0081730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817307" w:rsidRPr="00F54C77" w:rsidRDefault="00817307" w:rsidP="00817307">
            <w:pPr>
              <w:rPr>
                <w:rFonts w:ascii="Verdana" w:eastAsia="Times New Roman" w:hAnsi="Verdana"/>
                <w:color w:val="000000"/>
                <w:sz w:val="20"/>
              </w:rPr>
            </w:pPr>
            <w:r w:rsidRPr="00F54C77">
              <w:rPr>
                <w:rFonts w:ascii="Verdana" w:eastAsia="Times New Roman" w:hAnsi="Verdana"/>
                <w:color w:val="000000"/>
                <w:sz w:val="20"/>
              </w:rPr>
              <w:t>Edicola, farmacia, tabaccaio, plurilicenze</w:t>
            </w:r>
          </w:p>
        </w:tc>
        <w:tc>
          <w:tcPr>
            <w:tcW w:w="1892" w:type="dxa"/>
            <w:tcBorders>
              <w:top w:val="nil"/>
              <w:left w:val="nil"/>
              <w:bottom w:val="single" w:sz="4" w:space="0" w:color="auto"/>
              <w:right w:val="single" w:sz="4" w:space="0" w:color="auto"/>
            </w:tcBorders>
            <w:shd w:val="clear" w:color="auto" w:fill="auto"/>
            <w:noWrap/>
            <w:vAlign w:val="bottom"/>
            <w:hideMark/>
          </w:tcPr>
          <w:p w:rsidR="00817307" w:rsidRPr="00F54C77" w:rsidRDefault="00817307" w:rsidP="00817307">
            <w:pPr>
              <w:jc w:val="right"/>
              <w:rPr>
                <w:rFonts w:ascii="Verdana" w:eastAsia="Times New Roman" w:hAnsi="Verdana"/>
                <w:sz w:val="20"/>
              </w:rPr>
            </w:pPr>
            <w:r w:rsidRPr="00F54C77">
              <w:rPr>
                <w:rFonts w:ascii="Verdana" w:eastAsia="Times New Roman" w:hAnsi="Verdana"/>
                <w:sz w:val="20"/>
              </w:rPr>
              <w:t>100%</w:t>
            </w:r>
          </w:p>
        </w:tc>
      </w:tr>
      <w:tr w:rsidR="0081730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817307" w:rsidRPr="00F54C77" w:rsidRDefault="00817307" w:rsidP="00817307">
            <w:pPr>
              <w:rPr>
                <w:rFonts w:ascii="Verdana" w:eastAsia="Times New Roman" w:hAnsi="Verdana"/>
                <w:color w:val="000000"/>
                <w:sz w:val="20"/>
              </w:rPr>
            </w:pPr>
            <w:r w:rsidRPr="00F54C77">
              <w:rPr>
                <w:rFonts w:ascii="Verdana" w:eastAsia="Times New Roman" w:hAnsi="Verdana"/>
                <w:color w:val="000000"/>
                <w:sz w:val="20"/>
              </w:rPr>
              <w:t>Ristoranti, trattorie, osterie, pizzerie, pub</w:t>
            </w:r>
          </w:p>
        </w:tc>
        <w:tc>
          <w:tcPr>
            <w:tcW w:w="1892" w:type="dxa"/>
            <w:tcBorders>
              <w:top w:val="nil"/>
              <w:left w:val="nil"/>
              <w:bottom w:val="single" w:sz="4" w:space="0" w:color="auto"/>
              <w:right w:val="single" w:sz="4" w:space="0" w:color="auto"/>
            </w:tcBorders>
            <w:shd w:val="clear" w:color="auto" w:fill="auto"/>
            <w:noWrap/>
            <w:vAlign w:val="bottom"/>
            <w:hideMark/>
          </w:tcPr>
          <w:p w:rsidR="00817307" w:rsidRPr="00F54C77" w:rsidRDefault="00817307" w:rsidP="00817307">
            <w:pPr>
              <w:jc w:val="right"/>
              <w:rPr>
                <w:rFonts w:ascii="Verdana" w:eastAsia="Times New Roman" w:hAnsi="Verdana"/>
                <w:sz w:val="20"/>
              </w:rPr>
            </w:pPr>
            <w:r w:rsidRPr="00F54C77">
              <w:rPr>
                <w:rFonts w:ascii="Verdana" w:eastAsia="Times New Roman" w:hAnsi="Verdana"/>
                <w:sz w:val="20"/>
              </w:rPr>
              <w:t>480%</w:t>
            </w:r>
          </w:p>
        </w:tc>
      </w:tr>
      <w:tr w:rsidR="0081730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817307" w:rsidRPr="00F54C77" w:rsidRDefault="00817307" w:rsidP="00817307">
            <w:pPr>
              <w:rPr>
                <w:rFonts w:ascii="Verdana" w:eastAsia="Times New Roman" w:hAnsi="Verdana"/>
                <w:color w:val="000000"/>
                <w:sz w:val="20"/>
              </w:rPr>
            </w:pPr>
            <w:r w:rsidRPr="00F54C77">
              <w:rPr>
                <w:rFonts w:ascii="Verdana" w:eastAsia="Times New Roman" w:hAnsi="Verdana"/>
                <w:color w:val="000000"/>
                <w:sz w:val="20"/>
              </w:rPr>
              <w:t>Bar, caffè, pasticceria</w:t>
            </w:r>
          </w:p>
        </w:tc>
        <w:tc>
          <w:tcPr>
            <w:tcW w:w="1892" w:type="dxa"/>
            <w:tcBorders>
              <w:top w:val="nil"/>
              <w:left w:val="nil"/>
              <w:bottom w:val="single" w:sz="4" w:space="0" w:color="auto"/>
              <w:right w:val="single" w:sz="4" w:space="0" w:color="auto"/>
            </w:tcBorders>
            <w:shd w:val="clear" w:color="auto" w:fill="auto"/>
            <w:noWrap/>
            <w:vAlign w:val="bottom"/>
            <w:hideMark/>
          </w:tcPr>
          <w:p w:rsidR="00817307" w:rsidRPr="00F54C77" w:rsidRDefault="00817307" w:rsidP="00817307">
            <w:pPr>
              <w:jc w:val="right"/>
              <w:rPr>
                <w:rFonts w:ascii="Verdana" w:eastAsia="Times New Roman" w:hAnsi="Verdana"/>
                <w:sz w:val="20"/>
              </w:rPr>
            </w:pPr>
            <w:r w:rsidRPr="00F54C77">
              <w:rPr>
                <w:rFonts w:ascii="Verdana" w:eastAsia="Times New Roman" w:hAnsi="Verdana"/>
                <w:sz w:val="20"/>
              </w:rPr>
              <w:t>320%</w:t>
            </w:r>
          </w:p>
        </w:tc>
      </w:tr>
      <w:tr w:rsidR="0081730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817307" w:rsidRPr="00F54C77" w:rsidRDefault="00817307" w:rsidP="00817307">
            <w:pPr>
              <w:rPr>
                <w:rFonts w:ascii="Verdana" w:eastAsia="Times New Roman" w:hAnsi="Verdana"/>
                <w:color w:val="000000"/>
                <w:sz w:val="20"/>
              </w:rPr>
            </w:pPr>
            <w:r w:rsidRPr="00F54C77">
              <w:rPr>
                <w:rFonts w:ascii="Verdana" w:eastAsia="Times New Roman" w:hAnsi="Verdana"/>
                <w:color w:val="000000"/>
                <w:sz w:val="20"/>
              </w:rPr>
              <w:t>Mense, birrerie amburgherie</w:t>
            </w:r>
          </w:p>
        </w:tc>
        <w:tc>
          <w:tcPr>
            <w:tcW w:w="1892" w:type="dxa"/>
            <w:tcBorders>
              <w:top w:val="nil"/>
              <w:left w:val="nil"/>
              <w:bottom w:val="single" w:sz="4" w:space="0" w:color="auto"/>
              <w:right w:val="single" w:sz="4" w:space="0" w:color="auto"/>
            </w:tcBorders>
            <w:shd w:val="clear" w:color="auto" w:fill="auto"/>
            <w:noWrap/>
            <w:vAlign w:val="bottom"/>
            <w:hideMark/>
          </w:tcPr>
          <w:p w:rsidR="00817307" w:rsidRPr="00F54C77" w:rsidRDefault="00817307" w:rsidP="00817307">
            <w:pPr>
              <w:jc w:val="right"/>
              <w:rPr>
                <w:rFonts w:ascii="Verdana" w:eastAsia="Times New Roman" w:hAnsi="Verdana"/>
                <w:sz w:val="20"/>
              </w:rPr>
            </w:pPr>
            <w:r w:rsidRPr="00F54C77">
              <w:rPr>
                <w:rFonts w:ascii="Verdana" w:eastAsia="Times New Roman" w:hAnsi="Verdana"/>
                <w:sz w:val="20"/>
              </w:rPr>
              <w:t>310%</w:t>
            </w:r>
          </w:p>
        </w:tc>
      </w:tr>
      <w:tr w:rsidR="00817307" w:rsidRPr="00F54C77" w:rsidTr="00B46F2C">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817307" w:rsidRPr="00F54C77" w:rsidRDefault="00817307" w:rsidP="00817307">
            <w:pPr>
              <w:rPr>
                <w:rFonts w:ascii="Verdana" w:eastAsia="Times New Roman" w:hAnsi="Verdana"/>
                <w:color w:val="000000"/>
                <w:sz w:val="20"/>
              </w:rPr>
            </w:pPr>
            <w:r w:rsidRPr="00F54C77">
              <w:rPr>
                <w:rFonts w:ascii="Verdana" w:eastAsia="Times New Roman" w:hAnsi="Verdana"/>
                <w:color w:val="000000"/>
                <w:sz w:val="20"/>
              </w:rPr>
              <w:t>Supermercato, pane e pasta, macelleria, salumi e formaggi, generi alimentari</w:t>
            </w:r>
          </w:p>
        </w:tc>
        <w:tc>
          <w:tcPr>
            <w:tcW w:w="1892" w:type="dxa"/>
            <w:tcBorders>
              <w:top w:val="nil"/>
              <w:left w:val="nil"/>
              <w:bottom w:val="single" w:sz="4" w:space="0" w:color="auto"/>
              <w:right w:val="single" w:sz="4" w:space="0" w:color="auto"/>
            </w:tcBorders>
            <w:shd w:val="clear" w:color="auto" w:fill="auto"/>
            <w:noWrap/>
            <w:vAlign w:val="bottom"/>
            <w:hideMark/>
          </w:tcPr>
          <w:p w:rsidR="00817307" w:rsidRPr="00F54C77" w:rsidRDefault="00817307" w:rsidP="00817307">
            <w:pPr>
              <w:jc w:val="right"/>
              <w:rPr>
                <w:rFonts w:ascii="Verdana" w:eastAsia="Times New Roman" w:hAnsi="Verdana"/>
                <w:sz w:val="20"/>
              </w:rPr>
            </w:pPr>
            <w:r w:rsidRPr="00F54C77">
              <w:rPr>
                <w:rFonts w:ascii="Verdana" w:eastAsia="Times New Roman" w:hAnsi="Verdana"/>
                <w:sz w:val="20"/>
              </w:rPr>
              <w:t>190%</w:t>
            </w:r>
          </w:p>
        </w:tc>
      </w:tr>
      <w:tr w:rsidR="0081730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817307" w:rsidRPr="00F54C77" w:rsidRDefault="00817307" w:rsidP="00817307">
            <w:pPr>
              <w:rPr>
                <w:rFonts w:ascii="Verdana" w:eastAsia="Times New Roman" w:hAnsi="Verdana"/>
                <w:color w:val="000000"/>
                <w:sz w:val="20"/>
              </w:rPr>
            </w:pPr>
            <w:r w:rsidRPr="00F54C77">
              <w:rPr>
                <w:rFonts w:ascii="Verdana" w:eastAsia="Times New Roman" w:hAnsi="Verdana"/>
                <w:color w:val="000000"/>
                <w:sz w:val="20"/>
              </w:rPr>
              <w:t>Ortofrutta, pescherie, fiori e piante, pizza al taglio</w:t>
            </w:r>
          </w:p>
        </w:tc>
        <w:tc>
          <w:tcPr>
            <w:tcW w:w="1892" w:type="dxa"/>
            <w:tcBorders>
              <w:top w:val="nil"/>
              <w:left w:val="nil"/>
              <w:bottom w:val="single" w:sz="4" w:space="0" w:color="auto"/>
              <w:right w:val="single" w:sz="4" w:space="0" w:color="auto"/>
            </w:tcBorders>
            <w:shd w:val="clear" w:color="auto" w:fill="auto"/>
            <w:noWrap/>
            <w:vAlign w:val="bottom"/>
            <w:hideMark/>
          </w:tcPr>
          <w:p w:rsidR="00817307" w:rsidRPr="00F54C77" w:rsidRDefault="00817307" w:rsidP="00817307">
            <w:pPr>
              <w:jc w:val="right"/>
              <w:rPr>
                <w:rFonts w:ascii="Verdana" w:eastAsia="Times New Roman" w:hAnsi="Verdana"/>
                <w:sz w:val="20"/>
              </w:rPr>
            </w:pPr>
            <w:r w:rsidRPr="00F54C77">
              <w:rPr>
                <w:rFonts w:ascii="Verdana" w:eastAsia="Times New Roman" w:hAnsi="Verdana"/>
                <w:sz w:val="20"/>
              </w:rPr>
              <w:t>650%</w:t>
            </w:r>
          </w:p>
        </w:tc>
      </w:tr>
      <w:tr w:rsidR="00817307" w:rsidRPr="00F54C77" w:rsidTr="00B46F2C">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817307" w:rsidRPr="00F54C77" w:rsidRDefault="00817307" w:rsidP="00817307">
            <w:pPr>
              <w:rPr>
                <w:rFonts w:ascii="Verdana" w:eastAsia="Times New Roman" w:hAnsi="Verdana"/>
                <w:color w:val="000000"/>
                <w:sz w:val="20"/>
              </w:rPr>
            </w:pPr>
            <w:r w:rsidRPr="00F54C77">
              <w:rPr>
                <w:rFonts w:ascii="Verdana" w:eastAsia="Times New Roman" w:hAnsi="Verdana"/>
                <w:color w:val="000000"/>
                <w:sz w:val="20"/>
              </w:rPr>
              <w:t>Negozi abbigliamento, calzature, libreria, cartoleria, ferramenta e altri beni durevoli</w:t>
            </w:r>
          </w:p>
        </w:tc>
        <w:tc>
          <w:tcPr>
            <w:tcW w:w="1892" w:type="dxa"/>
            <w:tcBorders>
              <w:top w:val="nil"/>
              <w:left w:val="nil"/>
              <w:bottom w:val="single" w:sz="4" w:space="0" w:color="auto"/>
              <w:right w:val="single" w:sz="4" w:space="0" w:color="auto"/>
            </w:tcBorders>
            <w:shd w:val="clear" w:color="auto" w:fill="auto"/>
            <w:noWrap/>
            <w:vAlign w:val="bottom"/>
            <w:hideMark/>
          </w:tcPr>
          <w:p w:rsidR="00817307" w:rsidRPr="00F54C77" w:rsidRDefault="00817307" w:rsidP="00817307">
            <w:pPr>
              <w:jc w:val="right"/>
              <w:rPr>
                <w:rFonts w:ascii="Verdana" w:eastAsia="Times New Roman" w:hAnsi="Verdana"/>
                <w:sz w:val="20"/>
              </w:rPr>
            </w:pPr>
            <w:r w:rsidRPr="00F54C77">
              <w:rPr>
                <w:rFonts w:ascii="Verdana" w:eastAsia="Times New Roman" w:hAnsi="Verdana"/>
                <w:sz w:val="20"/>
              </w:rPr>
              <w:t>50%</w:t>
            </w:r>
          </w:p>
        </w:tc>
      </w:tr>
      <w:tr w:rsidR="0081730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817307" w:rsidRPr="00F54C77" w:rsidRDefault="00817307" w:rsidP="00817307">
            <w:pPr>
              <w:rPr>
                <w:rFonts w:ascii="Verdana" w:eastAsia="Times New Roman" w:hAnsi="Verdana"/>
                <w:color w:val="000000"/>
                <w:sz w:val="20"/>
              </w:rPr>
            </w:pPr>
            <w:r w:rsidRPr="00F54C77">
              <w:rPr>
                <w:rFonts w:ascii="Verdana" w:eastAsia="Times New Roman" w:hAnsi="Verdana"/>
                <w:color w:val="000000"/>
                <w:sz w:val="20"/>
              </w:rPr>
              <w:t>Discoteche, night club</w:t>
            </w:r>
          </w:p>
        </w:tc>
        <w:tc>
          <w:tcPr>
            <w:tcW w:w="1892" w:type="dxa"/>
            <w:tcBorders>
              <w:top w:val="nil"/>
              <w:left w:val="nil"/>
              <w:bottom w:val="single" w:sz="4" w:space="0" w:color="auto"/>
              <w:right w:val="single" w:sz="4" w:space="0" w:color="auto"/>
            </w:tcBorders>
            <w:shd w:val="clear" w:color="auto" w:fill="auto"/>
            <w:noWrap/>
            <w:vAlign w:val="bottom"/>
            <w:hideMark/>
          </w:tcPr>
          <w:p w:rsidR="00817307" w:rsidRPr="00F54C77" w:rsidRDefault="00817307" w:rsidP="00817307">
            <w:pPr>
              <w:jc w:val="right"/>
              <w:rPr>
                <w:rFonts w:ascii="Verdana" w:eastAsia="Times New Roman" w:hAnsi="Verdana"/>
                <w:sz w:val="20"/>
              </w:rPr>
            </w:pPr>
            <w:r w:rsidRPr="00F54C77">
              <w:rPr>
                <w:rFonts w:ascii="Verdana" w:eastAsia="Times New Roman" w:hAnsi="Verdana"/>
                <w:sz w:val="20"/>
              </w:rPr>
              <w:t>690%</w:t>
            </w:r>
          </w:p>
        </w:tc>
      </w:tr>
      <w:tr w:rsidR="0081730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817307" w:rsidRPr="00F54C77" w:rsidRDefault="00817307" w:rsidP="00817307">
            <w:pPr>
              <w:rPr>
                <w:rFonts w:ascii="Verdana" w:eastAsia="Times New Roman" w:hAnsi="Verdana"/>
                <w:b/>
                <w:bCs/>
                <w:color w:val="000000"/>
                <w:sz w:val="20"/>
              </w:rPr>
            </w:pPr>
            <w:r w:rsidRPr="00F54C77">
              <w:rPr>
                <w:rFonts w:ascii="Verdana" w:eastAsia="Times New Roman" w:hAnsi="Verdana"/>
                <w:b/>
                <w:bCs/>
                <w:color w:val="000000"/>
                <w:sz w:val="20"/>
              </w:rPr>
              <w:t>INCREMENTO MEDIO</w:t>
            </w:r>
          </w:p>
        </w:tc>
        <w:tc>
          <w:tcPr>
            <w:tcW w:w="1892" w:type="dxa"/>
            <w:tcBorders>
              <w:top w:val="nil"/>
              <w:left w:val="nil"/>
              <w:bottom w:val="single" w:sz="4" w:space="0" w:color="auto"/>
              <w:right w:val="single" w:sz="4" w:space="0" w:color="auto"/>
            </w:tcBorders>
            <w:shd w:val="clear" w:color="auto" w:fill="auto"/>
            <w:noWrap/>
            <w:vAlign w:val="bottom"/>
            <w:hideMark/>
          </w:tcPr>
          <w:p w:rsidR="00817307" w:rsidRPr="00F54C77" w:rsidRDefault="00817307" w:rsidP="00817307">
            <w:pPr>
              <w:jc w:val="right"/>
              <w:rPr>
                <w:rFonts w:ascii="Verdana" w:eastAsia="Times New Roman" w:hAnsi="Verdana"/>
                <w:b/>
                <w:bCs/>
                <w:sz w:val="20"/>
              </w:rPr>
            </w:pPr>
            <w:r w:rsidRPr="00F54C77">
              <w:rPr>
                <w:rFonts w:ascii="Verdana" w:eastAsia="Times New Roman" w:hAnsi="Verdana"/>
                <w:b/>
                <w:bCs/>
                <w:sz w:val="20"/>
              </w:rPr>
              <w:t>293%</w:t>
            </w:r>
          </w:p>
        </w:tc>
      </w:tr>
    </w:tbl>
    <w:p w:rsidR="009A5BFD" w:rsidRPr="00E32157" w:rsidRDefault="009A5BFD" w:rsidP="00F54C77">
      <w:pPr>
        <w:autoSpaceDE w:val="0"/>
        <w:autoSpaceDN w:val="0"/>
        <w:adjustRightInd w:val="0"/>
        <w:jc w:val="both"/>
        <w:rPr>
          <w:rFonts w:ascii="Verdana" w:hAnsi="Verdana"/>
          <w:i/>
          <w:sz w:val="16"/>
          <w:szCs w:val="16"/>
        </w:rPr>
      </w:pPr>
      <w:r w:rsidRPr="00E32157">
        <w:rPr>
          <w:rFonts w:ascii="Verdana" w:hAnsi="Verdana"/>
          <w:i/>
          <w:sz w:val="16"/>
          <w:szCs w:val="16"/>
        </w:rPr>
        <w:t xml:space="preserve">Fonte: elaborazioni Confcommercio su dati tratti dai regolamenti </w:t>
      </w:r>
      <w:r w:rsidR="00C875BD">
        <w:rPr>
          <w:rFonts w:ascii="Verdana" w:hAnsi="Verdana"/>
          <w:i/>
          <w:sz w:val="16"/>
          <w:szCs w:val="16"/>
        </w:rPr>
        <w:t xml:space="preserve">tariffari </w:t>
      </w:r>
      <w:r w:rsidRPr="00E32157">
        <w:rPr>
          <w:rFonts w:ascii="Verdana" w:hAnsi="Verdana"/>
          <w:i/>
          <w:sz w:val="16"/>
          <w:szCs w:val="16"/>
        </w:rPr>
        <w:t xml:space="preserve">comunali relativi ai capoluoghi di provincia. </w:t>
      </w:r>
    </w:p>
    <w:p w:rsidR="009A5BFD" w:rsidRPr="00E32157" w:rsidRDefault="009A5BFD" w:rsidP="00E32157">
      <w:pPr>
        <w:autoSpaceDE w:val="0"/>
        <w:autoSpaceDN w:val="0"/>
        <w:adjustRightInd w:val="0"/>
        <w:jc w:val="both"/>
        <w:rPr>
          <w:rFonts w:ascii="Calibri" w:hAnsi="Calibri"/>
          <w:color w:val="FF0000"/>
          <w:sz w:val="16"/>
          <w:szCs w:val="16"/>
        </w:rPr>
      </w:pPr>
    </w:p>
    <w:p w:rsidR="00817307" w:rsidRDefault="00817307" w:rsidP="00F54C77">
      <w:pPr>
        <w:autoSpaceDE w:val="0"/>
        <w:autoSpaceDN w:val="0"/>
        <w:adjustRightInd w:val="0"/>
        <w:jc w:val="both"/>
        <w:rPr>
          <w:rFonts w:ascii="Calibri" w:hAnsi="Calibri"/>
          <w:sz w:val="20"/>
        </w:rPr>
      </w:pPr>
    </w:p>
    <w:p w:rsidR="00A344A3" w:rsidRPr="00B46F2C" w:rsidRDefault="00A344A3" w:rsidP="00F54C77">
      <w:pPr>
        <w:autoSpaceDE w:val="0"/>
        <w:autoSpaceDN w:val="0"/>
        <w:adjustRightInd w:val="0"/>
        <w:jc w:val="both"/>
        <w:rPr>
          <w:rFonts w:ascii="Calibri" w:hAnsi="Calibri"/>
          <w:sz w:val="20"/>
        </w:rPr>
      </w:pPr>
    </w:p>
    <w:p w:rsidR="009A5BFD" w:rsidRPr="00F54C77" w:rsidRDefault="00F54C77" w:rsidP="00F54C77">
      <w:pPr>
        <w:autoSpaceDE w:val="0"/>
        <w:autoSpaceDN w:val="0"/>
        <w:adjustRightInd w:val="0"/>
        <w:rPr>
          <w:rFonts w:ascii="Verdana" w:hAnsi="Verdana"/>
          <w:b/>
          <w:sz w:val="20"/>
        </w:rPr>
      </w:pPr>
      <w:r w:rsidRPr="00F54C77">
        <w:rPr>
          <w:rFonts w:ascii="Verdana" w:hAnsi="Verdana"/>
          <w:b/>
          <w:sz w:val="20"/>
        </w:rPr>
        <w:t>Piemonte - Incrementi derivanti dal passaggio da tassa a tariffa</w:t>
      </w:r>
    </w:p>
    <w:tbl>
      <w:tblPr>
        <w:tblW w:w="8095" w:type="dxa"/>
        <w:tblInd w:w="55" w:type="dxa"/>
        <w:tblCellMar>
          <w:left w:w="70" w:type="dxa"/>
          <w:right w:w="70" w:type="dxa"/>
        </w:tblCellMar>
        <w:tblLook w:val="04A0" w:firstRow="1" w:lastRow="0" w:firstColumn="1" w:lastColumn="0" w:noHBand="0" w:noVBand="1"/>
      </w:tblPr>
      <w:tblGrid>
        <w:gridCol w:w="6203"/>
        <w:gridCol w:w="1892"/>
      </w:tblGrid>
      <w:tr w:rsidR="00F54C77" w:rsidRPr="00F54C77" w:rsidTr="00B46F2C">
        <w:trPr>
          <w:trHeight w:val="454"/>
        </w:trPr>
        <w:tc>
          <w:tcPr>
            <w:tcW w:w="6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77" w:rsidRPr="00F54C77" w:rsidRDefault="00F54C77" w:rsidP="00B46F2C">
            <w:pPr>
              <w:rPr>
                <w:rFonts w:ascii="Verdana" w:eastAsia="Times New Roman" w:hAnsi="Verdana"/>
                <w:b/>
                <w:bCs/>
                <w:color w:val="000000"/>
                <w:sz w:val="20"/>
              </w:rPr>
            </w:pPr>
            <w:r w:rsidRPr="00F54C77">
              <w:rPr>
                <w:rFonts w:ascii="Verdana" w:eastAsia="Times New Roman" w:hAnsi="Verdana"/>
                <w:b/>
                <w:bCs/>
                <w:color w:val="000000"/>
                <w:sz w:val="20"/>
              </w:rPr>
              <w:t>Categorie economiche</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54C77" w:rsidRPr="00F54C77" w:rsidRDefault="00F54C77" w:rsidP="00F54C77">
            <w:pPr>
              <w:jc w:val="center"/>
              <w:rPr>
                <w:rFonts w:ascii="Verdana" w:eastAsia="Times New Roman" w:hAnsi="Verdana"/>
                <w:b/>
                <w:bCs/>
                <w:color w:val="000000"/>
                <w:sz w:val="20"/>
              </w:rPr>
            </w:pPr>
            <w:r w:rsidRPr="00F54C77">
              <w:rPr>
                <w:rFonts w:ascii="Verdana" w:eastAsia="Times New Roman" w:hAnsi="Verdana"/>
                <w:b/>
                <w:bCs/>
                <w:color w:val="000000"/>
                <w:sz w:val="20"/>
              </w:rPr>
              <w:t>Incremento %</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Campeggi, distributori carburanti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110%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Alberghi con ristorante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210%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Alberghi senza ristorante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150%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Edicola, farmacia, tabaccaio, plurilicenze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130%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Ristoranti, trattorie, osterie, pizzerie, pub</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580%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Bar, caffè, pasticceria</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370%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Mense, birrerie amburgherie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320%</w:t>
            </w:r>
          </w:p>
        </w:tc>
      </w:tr>
      <w:tr w:rsidR="00F54C77" w:rsidRPr="00F54C77" w:rsidTr="00B46F2C">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Supermercato, pane e pasta, macelleria, salumi e formaggi, generi alimentari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290%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Ortofrutta, pescherie, fiori e piante, pizza al taglio</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610%</w:t>
            </w:r>
          </w:p>
        </w:tc>
      </w:tr>
      <w:tr w:rsidR="00F54C77" w:rsidRPr="00F54C77" w:rsidTr="00B46F2C">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Negozi abbigliamento, calzature, libreria, cartoleria, ferramenta e altri beni durevoli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75%</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Discoteche, night club</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580%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b/>
                <w:bCs/>
                <w:color w:val="000000"/>
                <w:sz w:val="20"/>
              </w:rPr>
            </w:pPr>
            <w:r w:rsidRPr="00F54C77">
              <w:rPr>
                <w:rFonts w:ascii="Verdana" w:eastAsia="Times New Roman" w:hAnsi="Verdana"/>
                <w:b/>
                <w:bCs/>
                <w:color w:val="000000"/>
                <w:sz w:val="20"/>
              </w:rPr>
              <w:t>INCREMENTO MEDIO</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b/>
                <w:bCs/>
                <w:sz w:val="20"/>
              </w:rPr>
            </w:pPr>
            <w:r w:rsidRPr="00F54C77">
              <w:rPr>
                <w:rFonts w:ascii="Verdana" w:eastAsia="Times New Roman" w:hAnsi="Verdana"/>
                <w:b/>
                <w:bCs/>
                <w:sz w:val="20"/>
              </w:rPr>
              <w:t>311%</w:t>
            </w:r>
          </w:p>
        </w:tc>
      </w:tr>
    </w:tbl>
    <w:p w:rsidR="009A5BFD" w:rsidRPr="00F54C77" w:rsidRDefault="009A5BFD" w:rsidP="00F54C77">
      <w:pPr>
        <w:autoSpaceDE w:val="0"/>
        <w:autoSpaceDN w:val="0"/>
        <w:adjustRightInd w:val="0"/>
        <w:jc w:val="both"/>
        <w:rPr>
          <w:rFonts w:ascii="Verdana" w:hAnsi="Verdana"/>
          <w:i/>
          <w:sz w:val="16"/>
          <w:szCs w:val="16"/>
        </w:rPr>
      </w:pPr>
      <w:r w:rsidRPr="00F54C77">
        <w:rPr>
          <w:rFonts w:ascii="Verdana" w:hAnsi="Verdana"/>
          <w:i/>
          <w:sz w:val="16"/>
          <w:szCs w:val="16"/>
        </w:rPr>
        <w:t xml:space="preserve">Fonte: elaborazioni Confcommercio su dati tratti dai regolamenti </w:t>
      </w:r>
      <w:r w:rsidR="006212C3" w:rsidRPr="00F54C77">
        <w:rPr>
          <w:rFonts w:ascii="Verdana" w:hAnsi="Verdana"/>
          <w:i/>
          <w:sz w:val="16"/>
          <w:szCs w:val="16"/>
        </w:rPr>
        <w:t xml:space="preserve">tariffari </w:t>
      </w:r>
      <w:r w:rsidRPr="00F54C77">
        <w:rPr>
          <w:rFonts w:ascii="Verdana" w:hAnsi="Verdana"/>
          <w:i/>
          <w:sz w:val="16"/>
          <w:szCs w:val="16"/>
        </w:rPr>
        <w:t xml:space="preserve">comunali relativi ai capoluoghi di provincia. </w:t>
      </w:r>
    </w:p>
    <w:p w:rsidR="009A5BFD" w:rsidRPr="00B46F2C" w:rsidRDefault="009A5BFD" w:rsidP="00F54C77">
      <w:pPr>
        <w:autoSpaceDE w:val="0"/>
        <w:autoSpaceDN w:val="0"/>
        <w:adjustRightInd w:val="0"/>
        <w:jc w:val="both"/>
        <w:rPr>
          <w:rFonts w:ascii="Verdana" w:hAnsi="Verdana"/>
          <w:color w:val="FF0000"/>
          <w:sz w:val="20"/>
        </w:rPr>
      </w:pPr>
    </w:p>
    <w:p w:rsidR="00A344A3" w:rsidRDefault="00A344A3">
      <w:pPr>
        <w:rPr>
          <w:rFonts w:ascii="Verdana" w:hAnsi="Verdana"/>
          <w:sz w:val="20"/>
        </w:rPr>
      </w:pPr>
      <w:r>
        <w:rPr>
          <w:rFonts w:ascii="Verdana" w:hAnsi="Verdana"/>
          <w:sz w:val="20"/>
        </w:rPr>
        <w:br w:type="page"/>
      </w:r>
    </w:p>
    <w:p w:rsidR="00F54C77" w:rsidRDefault="00F54C77" w:rsidP="00F54C77">
      <w:pPr>
        <w:autoSpaceDE w:val="0"/>
        <w:autoSpaceDN w:val="0"/>
        <w:adjustRightInd w:val="0"/>
        <w:jc w:val="both"/>
        <w:rPr>
          <w:rFonts w:ascii="Verdana" w:hAnsi="Verdana"/>
          <w:sz w:val="20"/>
        </w:rPr>
      </w:pPr>
    </w:p>
    <w:p w:rsidR="00A344A3" w:rsidRPr="00B46F2C" w:rsidRDefault="00A344A3" w:rsidP="00F54C77">
      <w:pPr>
        <w:autoSpaceDE w:val="0"/>
        <w:autoSpaceDN w:val="0"/>
        <w:adjustRightInd w:val="0"/>
        <w:jc w:val="both"/>
        <w:rPr>
          <w:rFonts w:ascii="Verdana" w:hAnsi="Verdana"/>
          <w:sz w:val="20"/>
        </w:rPr>
      </w:pPr>
    </w:p>
    <w:p w:rsidR="009A5BFD" w:rsidRPr="00F54C77" w:rsidRDefault="009A5BFD" w:rsidP="00F54C77">
      <w:pPr>
        <w:autoSpaceDE w:val="0"/>
        <w:autoSpaceDN w:val="0"/>
        <w:adjustRightInd w:val="0"/>
        <w:rPr>
          <w:rFonts w:ascii="Verdana" w:hAnsi="Verdana"/>
          <w:b/>
          <w:sz w:val="20"/>
        </w:rPr>
      </w:pPr>
      <w:r w:rsidRPr="00F54C77">
        <w:rPr>
          <w:rFonts w:ascii="Verdana" w:hAnsi="Verdana"/>
          <w:b/>
          <w:sz w:val="20"/>
        </w:rPr>
        <w:t>T</w:t>
      </w:r>
      <w:r w:rsidR="00F54C77" w:rsidRPr="00F54C77">
        <w:rPr>
          <w:rFonts w:ascii="Verdana" w:hAnsi="Verdana"/>
          <w:b/>
          <w:sz w:val="20"/>
        </w:rPr>
        <w:t>oscana - Incrementi derivanti dal passaggio da tassa a tariffa</w:t>
      </w:r>
    </w:p>
    <w:tbl>
      <w:tblPr>
        <w:tblW w:w="8095" w:type="dxa"/>
        <w:tblInd w:w="55" w:type="dxa"/>
        <w:tblCellMar>
          <w:left w:w="70" w:type="dxa"/>
          <w:right w:w="70" w:type="dxa"/>
        </w:tblCellMar>
        <w:tblLook w:val="04A0" w:firstRow="1" w:lastRow="0" w:firstColumn="1" w:lastColumn="0" w:noHBand="0" w:noVBand="1"/>
      </w:tblPr>
      <w:tblGrid>
        <w:gridCol w:w="6203"/>
        <w:gridCol w:w="1892"/>
      </w:tblGrid>
      <w:tr w:rsidR="00F54C77" w:rsidRPr="00F54C77" w:rsidTr="00B46F2C">
        <w:trPr>
          <w:trHeight w:val="600"/>
        </w:trPr>
        <w:tc>
          <w:tcPr>
            <w:tcW w:w="6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77" w:rsidRPr="00F54C77" w:rsidRDefault="00F54C77" w:rsidP="00B46F2C">
            <w:pPr>
              <w:rPr>
                <w:rFonts w:ascii="Verdana" w:eastAsia="Times New Roman" w:hAnsi="Verdana"/>
                <w:b/>
                <w:bCs/>
                <w:color w:val="000000"/>
                <w:sz w:val="20"/>
              </w:rPr>
            </w:pPr>
            <w:r w:rsidRPr="00F54C77">
              <w:rPr>
                <w:rFonts w:ascii="Verdana" w:eastAsia="Times New Roman" w:hAnsi="Verdana"/>
                <w:b/>
                <w:bCs/>
                <w:color w:val="000000"/>
                <w:sz w:val="20"/>
              </w:rPr>
              <w:t>Categorie economiche</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54C77" w:rsidRPr="00F54C77" w:rsidRDefault="00F54C77" w:rsidP="00F54C77">
            <w:pPr>
              <w:jc w:val="center"/>
              <w:rPr>
                <w:rFonts w:ascii="Verdana" w:eastAsia="Times New Roman" w:hAnsi="Verdana"/>
                <w:b/>
                <w:bCs/>
                <w:color w:val="000000"/>
                <w:sz w:val="20"/>
              </w:rPr>
            </w:pPr>
            <w:r w:rsidRPr="00F54C77">
              <w:rPr>
                <w:rFonts w:ascii="Verdana" w:eastAsia="Times New Roman" w:hAnsi="Verdana"/>
                <w:b/>
                <w:bCs/>
                <w:color w:val="000000"/>
                <w:sz w:val="20"/>
              </w:rPr>
              <w:t>Incremento %</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Campeggi, distributori carburanti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120%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Alberghi con ristorante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230%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Alberghi senza ristorante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140%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Edicola, farmacia, tabaccaio, plurilicenze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110%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Ristoranti, trattorie, osterie, pizzerie, pub</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540%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Bar, caffè, pasticceria</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320%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Mense, birrerie amburgherie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370%</w:t>
            </w:r>
          </w:p>
        </w:tc>
      </w:tr>
      <w:tr w:rsidR="00F54C77" w:rsidRPr="00F54C77" w:rsidTr="00B46F2C">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Supermercato, pane e pasta, macelleria, salumi e formaggi, generi alimentari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250%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Ortofrutta, pescherie, fiori e piante, pizza al taglio</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630%</w:t>
            </w:r>
          </w:p>
        </w:tc>
      </w:tr>
      <w:tr w:rsidR="00F54C77" w:rsidRPr="00F54C77" w:rsidTr="00B46F2C">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Negozi abbigliamento, calzature, libreria, cartoleria, ferramenta e altri beni durevoli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55%</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Discoteche, night club</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430%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b/>
                <w:bCs/>
                <w:color w:val="000000"/>
                <w:sz w:val="20"/>
              </w:rPr>
            </w:pPr>
            <w:r w:rsidRPr="00F54C77">
              <w:rPr>
                <w:rFonts w:ascii="Verdana" w:eastAsia="Times New Roman" w:hAnsi="Verdana"/>
                <w:b/>
                <w:bCs/>
                <w:color w:val="000000"/>
                <w:sz w:val="20"/>
              </w:rPr>
              <w:t>INCREMENTO MEDIO</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b/>
                <w:bCs/>
                <w:sz w:val="20"/>
              </w:rPr>
            </w:pPr>
            <w:r w:rsidRPr="00F54C77">
              <w:rPr>
                <w:rFonts w:ascii="Verdana" w:eastAsia="Times New Roman" w:hAnsi="Verdana"/>
                <w:b/>
                <w:bCs/>
                <w:sz w:val="20"/>
              </w:rPr>
              <w:t>290%</w:t>
            </w:r>
          </w:p>
        </w:tc>
      </w:tr>
    </w:tbl>
    <w:p w:rsidR="009A5BFD" w:rsidRPr="00F54C77" w:rsidRDefault="009A5BFD" w:rsidP="00F54C77">
      <w:pPr>
        <w:autoSpaceDE w:val="0"/>
        <w:autoSpaceDN w:val="0"/>
        <w:adjustRightInd w:val="0"/>
        <w:jc w:val="both"/>
        <w:rPr>
          <w:rFonts w:ascii="Verdana" w:hAnsi="Verdana"/>
          <w:i/>
          <w:sz w:val="16"/>
          <w:szCs w:val="16"/>
        </w:rPr>
      </w:pPr>
      <w:r w:rsidRPr="00F54C77">
        <w:rPr>
          <w:rFonts w:ascii="Verdana" w:hAnsi="Verdana"/>
          <w:i/>
          <w:sz w:val="16"/>
          <w:szCs w:val="16"/>
        </w:rPr>
        <w:t xml:space="preserve">Fonte: elaborazioni Confcommercio su dati tratti dai regolamenti </w:t>
      </w:r>
      <w:r w:rsidR="006212C3" w:rsidRPr="00F54C77">
        <w:rPr>
          <w:rFonts w:ascii="Verdana" w:hAnsi="Verdana"/>
          <w:i/>
          <w:sz w:val="16"/>
          <w:szCs w:val="16"/>
        </w:rPr>
        <w:t xml:space="preserve">tariffari </w:t>
      </w:r>
      <w:r w:rsidRPr="00F54C77">
        <w:rPr>
          <w:rFonts w:ascii="Verdana" w:hAnsi="Verdana"/>
          <w:i/>
          <w:sz w:val="16"/>
          <w:szCs w:val="16"/>
        </w:rPr>
        <w:t xml:space="preserve">comunali relativi ai capoluoghi di provincia. </w:t>
      </w:r>
    </w:p>
    <w:p w:rsidR="009A5BFD" w:rsidRPr="00B46F2C" w:rsidRDefault="009A5BFD" w:rsidP="00F54C77">
      <w:pPr>
        <w:autoSpaceDE w:val="0"/>
        <w:autoSpaceDN w:val="0"/>
        <w:adjustRightInd w:val="0"/>
        <w:jc w:val="both"/>
        <w:rPr>
          <w:rFonts w:ascii="Verdana" w:hAnsi="Verdana"/>
          <w:color w:val="FF0000"/>
          <w:sz w:val="20"/>
        </w:rPr>
      </w:pPr>
    </w:p>
    <w:p w:rsidR="00F54C77" w:rsidRDefault="00F54C77" w:rsidP="00F54C77">
      <w:pPr>
        <w:autoSpaceDE w:val="0"/>
        <w:autoSpaceDN w:val="0"/>
        <w:adjustRightInd w:val="0"/>
        <w:jc w:val="both"/>
        <w:rPr>
          <w:rFonts w:ascii="Verdana" w:hAnsi="Verdana"/>
          <w:sz w:val="20"/>
        </w:rPr>
      </w:pPr>
    </w:p>
    <w:p w:rsidR="00A344A3" w:rsidRPr="00B46F2C" w:rsidRDefault="00A344A3" w:rsidP="00F54C77">
      <w:pPr>
        <w:autoSpaceDE w:val="0"/>
        <w:autoSpaceDN w:val="0"/>
        <w:adjustRightInd w:val="0"/>
        <w:jc w:val="both"/>
        <w:rPr>
          <w:rFonts w:ascii="Verdana" w:hAnsi="Verdana"/>
          <w:sz w:val="20"/>
        </w:rPr>
      </w:pPr>
    </w:p>
    <w:p w:rsidR="009A5BFD" w:rsidRPr="00F54C77" w:rsidRDefault="009A5BFD" w:rsidP="00F54C77">
      <w:pPr>
        <w:autoSpaceDE w:val="0"/>
        <w:autoSpaceDN w:val="0"/>
        <w:adjustRightInd w:val="0"/>
        <w:rPr>
          <w:rFonts w:ascii="Verdana" w:hAnsi="Verdana"/>
          <w:b/>
          <w:sz w:val="20"/>
        </w:rPr>
      </w:pPr>
      <w:r w:rsidRPr="00F54C77">
        <w:rPr>
          <w:rFonts w:ascii="Verdana" w:hAnsi="Verdana"/>
          <w:b/>
          <w:sz w:val="20"/>
        </w:rPr>
        <w:t>L</w:t>
      </w:r>
      <w:r w:rsidR="00F54C77" w:rsidRPr="00F54C77">
        <w:rPr>
          <w:rFonts w:ascii="Verdana" w:hAnsi="Verdana"/>
          <w:b/>
          <w:sz w:val="20"/>
        </w:rPr>
        <w:t>azio - Incrementi derivanti dal passaggio da tassa a tariffa</w:t>
      </w:r>
    </w:p>
    <w:tbl>
      <w:tblPr>
        <w:tblW w:w="8095" w:type="dxa"/>
        <w:tblInd w:w="55" w:type="dxa"/>
        <w:tblCellMar>
          <w:left w:w="70" w:type="dxa"/>
          <w:right w:w="70" w:type="dxa"/>
        </w:tblCellMar>
        <w:tblLook w:val="04A0" w:firstRow="1" w:lastRow="0" w:firstColumn="1" w:lastColumn="0" w:noHBand="0" w:noVBand="1"/>
      </w:tblPr>
      <w:tblGrid>
        <w:gridCol w:w="6203"/>
        <w:gridCol w:w="1892"/>
      </w:tblGrid>
      <w:tr w:rsidR="00F54C77" w:rsidRPr="00F54C77" w:rsidTr="00B46F2C">
        <w:trPr>
          <w:trHeight w:val="600"/>
        </w:trPr>
        <w:tc>
          <w:tcPr>
            <w:tcW w:w="6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77" w:rsidRPr="00F54C77" w:rsidRDefault="00F54C77" w:rsidP="00B46F2C">
            <w:pPr>
              <w:rPr>
                <w:rFonts w:ascii="Verdana" w:eastAsia="Times New Roman" w:hAnsi="Verdana"/>
                <w:b/>
                <w:bCs/>
                <w:color w:val="000000"/>
                <w:sz w:val="20"/>
              </w:rPr>
            </w:pPr>
            <w:r w:rsidRPr="00F54C77">
              <w:rPr>
                <w:rFonts w:ascii="Verdana" w:eastAsia="Times New Roman" w:hAnsi="Verdana"/>
                <w:b/>
                <w:bCs/>
                <w:color w:val="000000"/>
                <w:sz w:val="20"/>
              </w:rPr>
              <w:t>Categorie economiche</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54C77" w:rsidRPr="00F54C77" w:rsidRDefault="00F54C77" w:rsidP="00F54C77">
            <w:pPr>
              <w:jc w:val="center"/>
              <w:rPr>
                <w:rFonts w:ascii="Verdana" w:eastAsia="Times New Roman" w:hAnsi="Verdana"/>
                <w:b/>
                <w:bCs/>
                <w:color w:val="000000"/>
                <w:sz w:val="20"/>
              </w:rPr>
            </w:pPr>
            <w:r w:rsidRPr="00F54C77">
              <w:rPr>
                <w:rFonts w:ascii="Verdana" w:eastAsia="Times New Roman" w:hAnsi="Verdana"/>
                <w:b/>
                <w:bCs/>
                <w:color w:val="000000"/>
                <w:sz w:val="20"/>
              </w:rPr>
              <w:t>Incremento %</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Campeggi, distributori carburanti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130%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Alberghi con ristorante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210%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Alberghi senza ristorante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140%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Edicola, farmacia, tabaccaio, plurilicenze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110%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Ristoranti, trattorie, osterie, pizzerie, pub</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570%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Bar, caffè, pasticceria</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320%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Mense, birrerie amburgherie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370%</w:t>
            </w:r>
          </w:p>
        </w:tc>
      </w:tr>
      <w:tr w:rsidR="00F54C77" w:rsidRPr="00F54C77" w:rsidTr="00B46F2C">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Supermercato, pane e pasta, macelleria, salumi e formaggi, generi alimentari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230%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Ortofrutta, pescherie, fiori e piante, pizza al taglio</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630%</w:t>
            </w:r>
          </w:p>
        </w:tc>
      </w:tr>
      <w:tr w:rsidR="00F54C77" w:rsidRPr="00F54C77" w:rsidTr="00B46F2C">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Negozi abbigliamento, calzature, libreria, cartoleria, ferramenta e altri beni durevoli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55%</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Discoteche, night club</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430%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b/>
                <w:bCs/>
                <w:color w:val="000000"/>
                <w:sz w:val="20"/>
              </w:rPr>
            </w:pPr>
            <w:r w:rsidRPr="00F54C77">
              <w:rPr>
                <w:rFonts w:ascii="Verdana" w:eastAsia="Times New Roman" w:hAnsi="Verdana"/>
                <w:b/>
                <w:bCs/>
                <w:color w:val="000000"/>
                <w:sz w:val="20"/>
              </w:rPr>
              <w:t>INCREMENTO MEDIO</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b/>
                <w:bCs/>
                <w:sz w:val="20"/>
              </w:rPr>
            </w:pPr>
            <w:r w:rsidRPr="00F54C77">
              <w:rPr>
                <w:rFonts w:ascii="Verdana" w:eastAsia="Times New Roman" w:hAnsi="Verdana"/>
                <w:b/>
                <w:bCs/>
                <w:sz w:val="20"/>
              </w:rPr>
              <w:t>290%</w:t>
            </w:r>
          </w:p>
        </w:tc>
      </w:tr>
    </w:tbl>
    <w:p w:rsidR="009A5BFD" w:rsidRPr="00F54C77" w:rsidRDefault="009A5BFD" w:rsidP="00F54C77">
      <w:pPr>
        <w:autoSpaceDE w:val="0"/>
        <w:autoSpaceDN w:val="0"/>
        <w:adjustRightInd w:val="0"/>
        <w:jc w:val="both"/>
        <w:rPr>
          <w:rFonts w:ascii="Verdana" w:hAnsi="Verdana"/>
          <w:i/>
          <w:sz w:val="16"/>
          <w:szCs w:val="16"/>
        </w:rPr>
      </w:pPr>
      <w:r w:rsidRPr="00F54C77">
        <w:rPr>
          <w:rFonts w:ascii="Verdana" w:hAnsi="Verdana"/>
          <w:i/>
          <w:sz w:val="16"/>
          <w:szCs w:val="16"/>
        </w:rPr>
        <w:t xml:space="preserve">Fonte: elaborazioni Confcommercio su dati tratti dai regolamenti </w:t>
      </w:r>
      <w:r w:rsidR="006212C3" w:rsidRPr="00F54C77">
        <w:rPr>
          <w:rFonts w:ascii="Verdana" w:hAnsi="Verdana"/>
          <w:i/>
          <w:sz w:val="16"/>
          <w:szCs w:val="16"/>
        </w:rPr>
        <w:t xml:space="preserve">tariffari </w:t>
      </w:r>
      <w:r w:rsidRPr="00F54C77">
        <w:rPr>
          <w:rFonts w:ascii="Verdana" w:hAnsi="Verdana"/>
          <w:i/>
          <w:sz w:val="16"/>
          <w:szCs w:val="16"/>
        </w:rPr>
        <w:t xml:space="preserve">comunali relativi ai capoluoghi di provincia. </w:t>
      </w:r>
    </w:p>
    <w:p w:rsidR="009A5BFD" w:rsidRPr="00B46F2C" w:rsidRDefault="009A5BFD" w:rsidP="00F54C77">
      <w:pPr>
        <w:autoSpaceDE w:val="0"/>
        <w:autoSpaceDN w:val="0"/>
        <w:adjustRightInd w:val="0"/>
        <w:jc w:val="both"/>
        <w:rPr>
          <w:rFonts w:ascii="Verdana" w:hAnsi="Verdana"/>
          <w:color w:val="FF0000"/>
          <w:sz w:val="20"/>
        </w:rPr>
      </w:pPr>
    </w:p>
    <w:p w:rsidR="00A344A3" w:rsidRDefault="00A344A3">
      <w:pPr>
        <w:rPr>
          <w:rFonts w:ascii="Verdana" w:hAnsi="Verdana"/>
          <w:sz w:val="20"/>
        </w:rPr>
      </w:pPr>
      <w:r>
        <w:rPr>
          <w:rFonts w:ascii="Verdana" w:hAnsi="Verdana"/>
          <w:sz w:val="20"/>
        </w:rPr>
        <w:br w:type="page"/>
      </w:r>
    </w:p>
    <w:p w:rsidR="00F54C77" w:rsidRDefault="00F54C77" w:rsidP="00F54C77">
      <w:pPr>
        <w:autoSpaceDE w:val="0"/>
        <w:autoSpaceDN w:val="0"/>
        <w:adjustRightInd w:val="0"/>
        <w:jc w:val="both"/>
        <w:rPr>
          <w:rFonts w:ascii="Verdana" w:hAnsi="Verdana"/>
          <w:sz w:val="20"/>
        </w:rPr>
      </w:pPr>
    </w:p>
    <w:p w:rsidR="00A344A3" w:rsidRPr="00B46F2C" w:rsidRDefault="00A344A3" w:rsidP="00F54C77">
      <w:pPr>
        <w:autoSpaceDE w:val="0"/>
        <w:autoSpaceDN w:val="0"/>
        <w:adjustRightInd w:val="0"/>
        <w:jc w:val="both"/>
        <w:rPr>
          <w:rFonts w:ascii="Verdana" w:hAnsi="Verdana"/>
          <w:sz w:val="20"/>
        </w:rPr>
      </w:pPr>
    </w:p>
    <w:p w:rsidR="009A5BFD" w:rsidRPr="00F54C77" w:rsidRDefault="009A5BFD" w:rsidP="00F54C77">
      <w:pPr>
        <w:autoSpaceDE w:val="0"/>
        <w:autoSpaceDN w:val="0"/>
        <w:adjustRightInd w:val="0"/>
        <w:rPr>
          <w:rFonts w:ascii="Verdana" w:hAnsi="Verdana"/>
          <w:b/>
          <w:sz w:val="20"/>
        </w:rPr>
      </w:pPr>
      <w:r w:rsidRPr="00F54C77">
        <w:rPr>
          <w:rFonts w:ascii="Verdana" w:hAnsi="Verdana"/>
          <w:b/>
          <w:sz w:val="20"/>
        </w:rPr>
        <w:t>P</w:t>
      </w:r>
      <w:r w:rsidR="00F54C77" w:rsidRPr="00F54C77">
        <w:rPr>
          <w:rFonts w:ascii="Verdana" w:hAnsi="Verdana"/>
          <w:b/>
          <w:sz w:val="20"/>
        </w:rPr>
        <w:t>uglia - Incrementi derivanti dal passaggio da tassa a tariffa</w:t>
      </w:r>
    </w:p>
    <w:tbl>
      <w:tblPr>
        <w:tblW w:w="8095" w:type="dxa"/>
        <w:tblInd w:w="55" w:type="dxa"/>
        <w:tblCellMar>
          <w:left w:w="70" w:type="dxa"/>
          <w:right w:w="70" w:type="dxa"/>
        </w:tblCellMar>
        <w:tblLook w:val="04A0" w:firstRow="1" w:lastRow="0" w:firstColumn="1" w:lastColumn="0" w:noHBand="0" w:noVBand="1"/>
      </w:tblPr>
      <w:tblGrid>
        <w:gridCol w:w="6203"/>
        <w:gridCol w:w="1892"/>
      </w:tblGrid>
      <w:tr w:rsidR="00F54C77" w:rsidRPr="00F54C77" w:rsidTr="00B46F2C">
        <w:trPr>
          <w:trHeight w:val="600"/>
        </w:trPr>
        <w:tc>
          <w:tcPr>
            <w:tcW w:w="6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77" w:rsidRPr="00F54C77" w:rsidRDefault="00F54C77" w:rsidP="00B46F2C">
            <w:pPr>
              <w:rPr>
                <w:rFonts w:ascii="Verdana" w:eastAsia="Times New Roman" w:hAnsi="Verdana"/>
                <w:b/>
                <w:bCs/>
                <w:color w:val="000000"/>
                <w:sz w:val="20"/>
              </w:rPr>
            </w:pPr>
            <w:r w:rsidRPr="00F54C77">
              <w:rPr>
                <w:rFonts w:ascii="Verdana" w:eastAsia="Times New Roman" w:hAnsi="Verdana"/>
                <w:b/>
                <w:bCs/>
                <w:color w:val="000000"/>
                <w:sz w:val="20"/>
              </w:rPr>
              <w:t>Categorie economiche</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54C77" w:rsidRPr="00F54C77" w:rsidRDefault="00F54C77" w:rsidP="00F54C77">
            <w:pPr>
              <w:jc w:val="center"/>
              <w:rPr>
                <w:rFonts w:ascii="Verdana" w:eastAsia="Times New Roman" w:hAnsi="Verdana"/>
                <w:b/>
                <w:bCs/>
                <w:color w:val="000000"/>
                <w:sz w:val="20"/>
              </w:rPr>
            </w:pPr>
            <w:r w:rsidRPr="00F54C77">
              <w:rPr>
                <w:rFonts w:ascii="Verdana" w:eastAsia="Times New Roman" w:hAnsi="Verdana"/>
                <w:b/>
                <w:bCs/>
                <w:color w:val="000000"/>
                <w:sz w:val="20"/>
              </w:rPr>
              <w:t>Incremento %</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Campeggi, distributori carburanti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170%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Alberghi con ristorante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180%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Alberghi senza ristorante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140%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Edicola, farmacia, tabaccaio, plurilicenze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110%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Ristoranti, trattorie, osterie, pizzerie, pub</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570%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Bar, caffè, pasticceria</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320%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Mense, birrerie amburgherie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370%</w:t>
            </w:r>
          </w:p>
        </w:tc>
      </w:tr>
      <w:tr w:rsidR="00F54C77" w:rsidRPr="00F54C77" w:rsidTr="00B46F2C">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Supermercato, pane e pasta, macelleria, salumi e formaggi, generi alimentari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230%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Ortofrutta, pescherie, fiori e piante, pizza al taglio</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620%</w:t>
            </w:r>
          </w:p>
        </w:tc>
      </w:tr>
      <w:tr w:rsidR="00F54C77" w:rsidRPr="00F54C77" w:rsidTr="00B46F2C">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Negozi abbigliamento, calzature, libreria, cartoleria, ferramenta e altri beni durevoli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60%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Discoteche, night club</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630%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b/>
                <w:bCs/>
                <w:color w:val="000000"/>
                <w:sz w:val="20"/>
              </w:rPr>
            </w:pPr>
            <w:r w:rsidRPr="00F54C77">
              <w:rPr>
                <w:rFonts w:ascii="Verdana" w:eastAsia="Times New Roman" w:hAnsi="Verdana"/>
                <w:b/>
                <w:bCs/>
                <w:color w:val="000000"/>
                <w:sz w:val="20"/>
              </w:rPr>
              <w:t>INCREMENTO MEDIO</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b/>
                <w:bCs/>
                <w:sz w:val="20"/>
              </w:rPr>
            </w:pPr>
            <w:r w:rsidRPr="00F54C77">
              <w:rPr>
                <w:rFonts w:ascii="Verdana" w:eastAsia="Times New Roman" w:hAnsi="Verdana"/>
                <w:b/>
                <w:bCs/>
                <w:sz w:val="20"/>
              </w:rPr>
              <w:t>309%</w:t>
            </w:r>
          </w:p>
        </w:tc>
      </w:tr>
    </w:tbl>
    <w:p w:rsidR="009A5BFD" w:rsidRPr="00F54C77" w:rsidRDefault="009A5BFD" w:rsidP="00F54C77">
      <w:pPr>
        <w:autoSpaceDE w:val="0"/>
        <w:autoSpaceDN w:val="0"/>
        <w:adjustRightInd w:val="0"/>
        <w:jc w:val="both"/>
        <w:rPr>
          <w:rFonts w:ascii="Verdana" w:hAnsi="Verdana"/>
          <w:i/>
          <w:sz w:val="16"/>
          <w:szCs w:val="16"/>
        </w:rPr>
      </w:pPr>
      <w:r w:rsidRPr="00F54C77">
        <w:rPr>
          <w:rFonts w:ascii="Verdana" w:hAnsi="Verdana"/>
          <w:i/>
          <w:sz w:val="16"/>
          <w:szCs w:val="16"/>
        </w:rPr>
        <w:t xml:space="preserve">Fonte: elaborazioni Confcommercio su dati tratti dai regolamenti </w:t>
      </w:r>
      <w:r w:rsidR="006212C3" w:rsidRPr="00F54C77">
        <w:rPr>
          <w:rFonts w:ascii="Verdana" w:hAnsi="Verdana"/>
          <w:i/>
          <w:sz w:val="16"/>
          <w:szCs w:val="16"/>
        </w:rPr>
        <w:t xml:space="preserve">tariffari </w:t>
      </w:r>
      <w:r w:rsidRPr="00F54C77">
        <w:rPr>
          <w:rFonts w:ascii="Verdana" w:hAnsi="Verdana"/>
          <w:i/>
          <w:sz w:val="16"/>
          <w:szCs w:val="16"/>
        </w:rPr>
        <w:t xml:space="preserve">comunali relativi ai capoluoghi di provincia. </w:t>
      </w:r>
    </w:p>
    <w:p w:rsidR="009A5BFD" w:rsidRPr="00F54C77" w:rsidRDefault="009A5BFD" w:rsidP="00F54C77">
      <w:pPr>
        <w:autoSpaceDE w:val="0"/>
        <w:autoSpaceDN w:val="0"/>
        <w:adjustRightInd w:val="0"/>
        <w:jc w:val="both"/>
        <w:rPr>
          <w:rFonts w:ascii="Verdana" w:hAnsi="Verdana"/>
          <w:color w:val="FF0000"/>
          <w:sz w:val="20"/>
        </w:rPr>
      </w:pPr>
    </w:p>
    <w:p w:rsidR="00F54C77" w:rsidRDefault="00F54C77" w:rsidP="00F54C77">
      <w:pPr>
        <w:autoSpaceDE w:val="0"/>
        <w:autoSpaceDN w:val="0"/>
        <w:adjustRightInd w:val="0"/>
        <w:jc w:val="both"/>
        <w:rPr>
          <w:rFonts w:ascii="Verdana" w:hAnsi="Verdana"/>
          <w:b/>
          <w:sz w:val="20"/>
        </w:rPr>
      </w:pPr>
    </w:p>
    <w:p w:rsidR="00A344A3" w:rsidRPr="00F54C77" w:rsidRDefault="00A344A3" w:rsidP="00F54C77">
      <w:pPr>
        <w:autoSpaceDE w:val="0"/>
        <w:autoSpaceDN w:val="0"/>
        <w:adjustRightInd w:val="0"/>
        <w:jc w:val="both"/>
        <w:rPr>
          <w:rFonts w:ascii="Verdana" w:hAnsi="Verdana"/>
          <w:b/>
          <w:sz w:val="20"/>
        </w:rPr>
      </w:pPr>
    </w:p>
    <w:p w:rsidR="009A5BFD" w:rsidRPr="00F54C77" w:rsidRDefault="009A5BFD" w:rsidP="00F54C77">
      <w:pPr>
        <w:autoSpaceDE w:val="0"/>
        <w:autoSpaceDN w:val="0"/>
        <w:adjustRightInd w:val="0"/>
        <w:rPr>
          <w:rFonts w:ascii="Verdana" w:hAnsi="Verdana"/>
          <w:b/>
          <w:sz w:val="20"/>
        </w:rPr>
      </w:pPr>
      <w:r w:rsidRPr="00F54C77">
        <w:rPr>
          <w:rFonts w:ascii="Verdana" w:hAnsi="Verdana"/>
          <w:b/>
          <w:sz w:val="20"/>
        </w:rPr>
        <w:t>S</w:t>
      </w:r>
      <w:r w:rsidR="00F54C77" w:rsidRPr="00F54C77">
        <w:rPr>
          <w:rFonts w:ascii="Verdana" w:hAnsi="Verdana"/>
          <w:b/>
          <w:sz w:val="20"/>
        </w:rPr>
        <w:t>icilia - Incrementi derivanti dal passaggio da tassa a tariffa</w:t>
      </w:r>
    </w:p>
    <w:tbl>
      <w:tblPr>
        <w:tblW w:w="8095" w:type="dxa"/>
        <w:tblInd w:w="55" w:type="dxa"/>
        <w:tblCellMar>
          <w:left w:w="70" w:type="dxa"/>
          <w:right w:w="70" w:type="dxa"/>
        </w:tblCellMar>
        <w:tblLook w:val="04A0" w:firstRow="1" w:lastRow="0" w:firstColumn="1" w:lastColumn="0" w:noHBand="0" w:noVBand="1"/>
      </w:tblPr>
      <w:tblGrid>
        <w:gridCol w:w="6203"/>
        <w:gridCol w:w="1892"/>
      </w:tblGrid>
      <w:tr w:rsidR="00F54C77" w:rsidRPr="00F54C77" w:rsidTr="00B46F2C">
        <w:trPr>
          <w:trHeight w:val="600"/>
        </w:trPr>
        <w:tc>
          <w:tcPr>
            <w:tcW w:w="6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77" w:rsidRPr="00F54C77" w:rsidRDefault="00F54C77" w:rsidP="00B46F2C">
            <w:pPr>
              <w:rPr>
                <w:rFonts w:ascii="Verdana" w:eastAsia="Times New Roman" w:hAnsi="Verdana"/>
                <w:b/>
                <w:bCs/>
                <w:color w:val="000000"/>
                <w:sz w:val="20"/>
              </w:rPr>
            </w:pPr>
            <w:r w:rsidRPr="00F54C77">
              <w:rPr>
                <w:rFonts w:ascii="Verdana" w:eastAsia="Times New Roman" w:hAnsi="Verdana"/>
                <w:b/>
                <w:bCs/>
                <w:color w:val="000000"/>
                <w:sz w:val="20"/>
              </w:rPr>
              <w:t>Categorie economiche</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54C77" w:rsidRPr="00F54C77" w:rsidRDefault="00F54C77" w:rsidP="00F54C77">
            <w:pPr>
              <w:jc w:val="center"/>
              <w:rPr>
                <w:rFonts w:ascii="Verdana" w:eastAsia="Times New Roman" w:hAnsi="Verdana"/>
                <w:b/>
                <w:bCs/>
                <w:color w:val="000000"/>
                <w:sz w:val="20"/>
              </w:rPr>
            </w:pPr>
            <w:r w:rsidRPr="00F54C77">
              <w:rPr>
                <w:rFonts w:ascii="Verdana" w:eastAsia="Times New Roman" w:hAnsi="Verdana"/>
                <w:b/>
                <w:bCs/>
                <w:color w:val="000000"/>
                <w:sz w:val="20"/>
              </w:rPr>
              <w:t>Incremento %</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Campeggi, distributori carburanti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0E38CD" w:rsidP="00F54C77">
            <w:pPr>
              <w:jc w:val="right"/>
              <w:rPr>
                <w:rFonts w:ascii="Verdana" w:eastAsia="Times New Roman" w:hAnsi="Verdana"/>
                <w:sz w:val="20"/>
              </w:rPr>
            </w:pPr>
            <w:r>
              <w:rPr>
                <w:rFonts w:ascii="Verdana" w:eastAsia="Times New Roman" w:hAnsi="Verdana"/>
                <w:sz w:val="20"/>
              </w:rPr>
              <w:t>1</w:t>
            </w:r>
            <w:r w:rsidR="00F54C77" w:rsidRPr="00F54C77">
              <w:rPr>
                <w:rFonts w:ascii="Verdana" w:eastAsia="Times New Roman" w:hAnsi="Verdana"/>
                <w:sz w:val="20"/>
              </w:rPr>
              <w:t>70%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Alberghi con ristorante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250%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Alberghi senza ristorante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170%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Edicola, farmacia, tabaccaio, plurilicenze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110%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Ristoranti, trattorie, osterie, pizzerie, pub</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550%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Bar, caffè, pasticceria</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340%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Mense, birrerie amburgherie</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370%</w:t>
            </w:r>
          </w:p>
        </w:tc>
      </w:tr>
      <w:tr w:rsidR="00F54C77" w:rsidRPr="00F54C77" w:rsidTr="00B46F2C">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Supermercato, pane e pasta, macelleria, salumi e formaggi, generi alimentari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230%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Ortofrutta, pescherie, fiori e piante, pizza al taglio</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620%</w:t>
            </w:r>
          </w:p>
        </w:tc>
      </w:tr>
      <w:tr w:rsidR="00F54C77" w:rsidRPr="00F54C77" w:rsidTr="00B46F2C">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Negozi abbigliamento, calzature, libreria, cartoleria, ferramenta e altri beni durevoli</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60%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color w:val="000000"/>
                <w:sz w:val="20"/>
              </w:rPr>
            </w:pPr>
            <w:r w:rsidRPr="00F54C77">
              <w:rPr>
                <w:rFonts w:ascii="Verdana" w:eastAsia="Times New Roman" w:hAnsi="Verdana"/>
                <w:color w:val="000000"/>
                <w:sz w:val="20"/>
              </w:rPr>
              <w:t>Discoteche, night club</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sz w:val="20"/>
              </w:rPr>
            </w:pPr>
            <w:r w:rsidRPr="00F54C77">
              <w:rPr>
                <w:rFonts w:ascii="Verdana" w:eastAsia="Times New Roman" w:hAnsi="Verdana"/>
                <w:sz w:val="20"/>
              </w:rPr>
              <w:t>650%</w:t>
            </w:r>
          </w:p>
        </w:tc>
      </w:tr>
      <w:tr w:rsidR="00F54C77" w:rsidRPr="00F54C77" w:rsidTr="00B46F2C">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F54C77" w:rsidRPr="00F54C77" w:rsidRDefault="00F54C77" w:rsidP="00F54C77">
            <w:pPr>
              <w:rPr>
                <w:rFonts w:ascii="Verdana" w:eastAsia="Times New Roman" w:hAnsi="Verdana"/>
                <w:b/>
                <w:bCs/>
                <w:color w:val="000000"/>
                <w:sz w:val="20"/>
              </w:rPr>
            </w:pPr>
            <w:r w:rsidRPr="00F54C77">
              <w:rPr>
                <w:rFonts w:ascii="Verdana" w:eastAsia="Times New Roman" w:hAnsi="Verdana"/>
                <w:b/>
                <w:bCs/>
                <w:color w:val="000000"/>
                <w:sz w:val="20"/>
              </w:rPr>
              <w:t>INCREMENTO MEDIO</w:t>
            </w:r>
          </w:p>
        </w:tc>
        <w:tc>
          <w:tcPr>
            <w:tcW w:w="1892" w:type="dxa"/>
            <w:tcBorders>
              <w:top w:val="nil"/>
              <w:left w:val="nil"/>
              <w:bottom w:val="single" w:sz="4" w:space="0" w:color="auto"/>
              <w:right w:val="single" w:sz="4" w:space="0" w:color="auto"/>
            </w:tcBorders>
            <w:shd w:val="clear" w:color="auto" w:fill="auto"/>
            <w:noWrap/>
            <w:vAlign w:val="bottom"/>
            <w:hideMark/>
          </w:tcPr>
          <w:p w:rsidR="00F54C77" w:rsidRPr="00F54C77" w:rsidRDefault="00F54C77" w:rsidP="00F54C77">
            <w:pPr>
              <w:jc w:val="right"/>
              <w:rPr>
                <w:rFonts w:ascii="Verdana" w:eastAsia="Times New Roman" w:hAnsi="Verdana"/>
                <w:b/>
                <w:bCs/>
                <w:sz w:val="20"/>
              </w:rPr>
            </w:pPr>
            <w:r w:rsidRPr="00F54C77">
              <w:rPr>
                <w:rFonts w:ascii="Verdana" w:eastAsia="Times New Roman" w:hAnsi="Verdana"/>
                <w:b/>
                <w:bCs/>
                <w:sz w:val="20"/>
              </w:rPr>
              <w:t>320%</w:t>
            </w:r>
          </w:p>
        </w:tc>
      </w:tr>
    </w:tbl>
    <w:p w:rsidR="009A5BFD" w:rsidRPr="00F54C77" w:rsidRDefault="009A5BFD" w:rsidP="00F54C77">
      <w:pPr>
        <w:autoSpaceDE w:val="0"/>
        <w:autoSpaceDN w:val="0"/>
        <w:adjustRightInd w:val="0"/>
        <w:jc w:val="both"/>
        <w:rPr>
          <w:rFonts w:ascii="Verdana" w:hAnsi="Verdana"/>
          <w:i/>
          <w:sz w:val="16"/>
          <w:szCs w:val="16"/>
        </w:rPr>
      </w:pPr>
      <w:r w:rsidRPr="00F54C77">
        <w:rPr>
          <w:rFonts w:ascii="Verdana" w:hAnsi="Verdana"/>
          <w:i/>
          <w:sz w:val="16"/>
          <w:szCs w:val="16"/>
        </w:rPr>
        <w:t xml:space="preserve">Fonte: elaborazioni Confcommercio su dati tratti dai regolamenti </w:t>
      </w:r>
      <w:r w:rsidR="006212C3" w:rsidRPr="00F54C77">
        <w:rPr>
          <w:rFonts w:ascii="Verdana" w:hAnsi="Verdana"/>
          <w:i/>
          <w:sz w:val="16"/>
          <w:szCs w:val="16"/>
        </w:rPr>
        <w:t xml:space="preserve">tariffari </w:t>
      </w:r>
      <w:r w:rsidRPr="00F54C77">
        <w:rPr>
          <w:rFonts w:ascii="Verdana" w:hAnsi="Verdana"/>
          <w:i/>
          <w:sz w:val="16"/>
          <w:szCs w:val="16"/>
        </w:rPr>
        <w:t xml:space="preserve">comunali relativi ai capoluoghi di provincia. </w:t>
      </w:r>
    </w:p>
    <w:sectPr w:rsidR="009A5BFD" w:rsidRPr="00F54C77" w:rsidSect="003132BF">
      <w:footerReference w:type="even" r:id="rId10"/>
      <w:footerReference w:type="default" r:id="rId11"/>
      <w:pgSz w:w="11906" w:h="16838"/>
      <w:pgMar w:top="851" w:right="851" w:bottom="851" w:left="85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A3" w:rsidRDefault="00A344A3">
      <w:r>
        <w:separator/>
      </w:r>
    </w:p>
  </w:endnote>
  <w:endnote w:type="continuationSeparator" w:id="0">
    <w:p w:rsidR="00A344A3" w:rsidRDefault="00A3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A3" w:rsidRDefault="00A344A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344A3" w:rsidRDefault="00A344A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A3" w:rsidRDefault="00A344A3">
    <w:pPr>
      <w:pStyle w:val="Pidipagina"/>
      <w:framePr w:wrap="around" w:vAnchor="text" w:hAnchor="margin" w:xAlign="right" w:y="1"/>
      <w:rPr>
        <w:rStyle w:val="Numeropagina"/>
        <w:sz w:val="18"/>
      </w:rPr>
    </w:pPr>
    <w:r>
      <w:rPr>
        <w:rStyle w:val="Numeropagina"/>
        <w:sz w:val="18"/>
      </w:rPr>
      <w:fldChar w:fldCharType="begin"/>
    </w:r>
    <w:r>
      <w:rPr>
        <w:rStyle w:val="Numeropagina"/>
        <w:sz w:val="18"/>
      </w:rPr>
      <w:instrText xml:space="preserve">PAGE  </w:instrText>
    </w:r>
    <w:r>
      <w:rPr>
        <w:rStyle w:val="Numeropagina"/>
        <w:sz w:val="18"/>
      </w:rPr>
      <w:fldChar w:fldCharType="separate"/>
    </w:r>
    <w:r w:rsidR="00FF575E">
      <w:rPr>
        <w:rStyle w:val="Numeropagina"/>
        <w:noProof/>
        <w:sz w:val="18"/>
      </w:rPr>
      <w:t>4</w:t>
    </w:r>
    <w:r>
      <w:rPr>
        <w:rStyle w:val="Numeropagina"/>
        <w:sz w:val="18"/>
      </w:rPr>
      <w:fldChar w:fldCharType="end"/>
    </w:r>
  </w:p>
  <w:p w:rsidR="00A344A3" w:rsidRDefault="00A344A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A3" w:rsidRDefault="00A344A3">
      <w:r>
        <w:separator/>
      </w:r>
    </w:p>
  </w:footnote>
  <w:footnote w:type="continuationSeparator" w:id="0">
    <w:p w:rsidR="00A344A3" w:rsidRDefault="00A34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03B"/>
    <w:multiLevelType w:val="hybridMultilevel"/>
    <w:tmpl w:val="198ED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5C105F"/>
    <w:multiLevelType w:val="hybridMultilevel"/>
    <w:tmpl w:val="7AC8D3E2"/>
    <w:lvl w:ilvl="0" w:tplc="280A51A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E560644"/>
    <w:multiLevelType w:val="hybridMultilevel"/>
    <w:tmpl w:val="08446504"/>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nsid w:val="22066EAF"/>
    <w:multiLevelType w:val="hybridMultilevel"/>
    <w:tmpl w:val="4DE0F05E"/>
    <w:lvl w:ilvl="0" w:tplc="5B8091D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69F5193"/>
    <w:multiLevelType w:val="hybridMultilevel"/>
    <w:tmpl w:val="CDF00890"/>
    <w:lvl w:ilvl="0" w:tplc="EF50616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7A77B61"/>
    <w:multiLevelType w:val="hybridMultilevel"/>
    <w:tmpl w:val="08F87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372B86"/>
    <w:multiLevelType w:val="hybridMultilevel"/>
    <w:tmpl w:val="DB62CC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textFile"/>
    <w:connectString w:val=""/>
    <w:query w:val="SELECT * FROM C:\Documents and Settings\vagnini\Desktop\frase.doc"/>
    <w:activeRecord w:val="-1"/>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58"/>
    <w:rsid w:val="00006D6A"/>
    <w:rsid w:val="00021B19"/>
    <w:rsid w:val="0003230A"/>
    <w:rsid w:val="000474A3"/>
    <w:rsid w:val="000613AC"/>
    <w:rsid w:val="00071189"/>
    <w:rsid w:val="00071F8A"/>
    <w:rsid w:val="000779B6"/>
    <w:rsid w:val="0008151E"/>
    <w:rsid w:val="000A561C"/>
    <w:rsid w:val="000A58A4"/>
    <w:rsid w:val="000A5AA1"/>
    <w:rsid w:val="000A7524"/>
    <w:rsid w:val="000C40F0"/>
    <w:rsid w:val="000E38CD"/>
    <w:rsid w:val="000E5C24"/>
    <w:rsid w:val="0010460A"/>
    <w:rsid w:val="00107095"/>
    <w:rsid w:val="001077AC"/>
    <w:rsid w:val="00107CB3"/>
    <w:rsid w:val="001154D4"/>
    <w:rsid w:val="001207A6"/>
    <w:rsid w:val="00122B70"/>
    <w:rsid w:val="00123CF1"/>
    <w:rsid w:val="001445F3"/>
    <w:rsid w:val="00155176"/>
    <w:rsid w:val="00160661"/>
    <w:rsid w:val="00170378"/>
    <w:rsid w:val="001836B8"/>
    <w:rsid w:val="00184971"/>
    <w:rsid w:val="00185147"/>
    <w:rsid w:val="001B187A"/>
    <w:rsid w:val="001D1CE3"/>
    <w:rsid w:val="001D44CD"/>
    <w:rsid w:val="001D7312"/>
    <w:rsid w:val="001E1433"/>
    <w:rsid w:val="001E7213"/>
    <w:rsid w:val="00207FB3"/>
    <w:rsid w:val="00230563"/>
    <w:rsid w:val="0023439D"/>
    <w:rsid w:val="00234503"/>
    <w:rsid w:val="00244867"/>
    <w:rsid w:val="0024714F"/>
    <w:rsid w:val="00270C99"/>
    <w:rsid w:val="00284D54"/>
    <w:rsid w:val="002A1553"/>
    <w:rsid w:val="002A7E49"/>
    <w:rsid w:val="002B5B4B"/>
    <w:rsid w:val="002B638E"/>
    <w:rsid w:val="002E4040"/>
    <w:rsid w:val="002E7967"/>
    <w:rsid w:val="003032C1"/>
    <w:rsid w:val="00305509"/>
    <w:rsid w:val="003132BF"/>
    <w:rsid w:val="00314B8B"/>
    <w:rsid w:val="00315EE4"/>
    <w:rsid w:val="00355A9D"/>
    <w:rsid w:val="00360B4A"/>
    <w:rsid w:val="00363CB5"/>
    <w:rsid w:val="00366F39"/>
    <w:rsid w:val="00372EE8"/>
    <w:rsid w:val="00394B9C"/>
    <w:rsid w:val="003B12D2"/>
    <w:rsid w:val="003B20A7"/>
    <w:rsid w:val="003C26C0"/>
    <w:rsid w:val="003C2F61"/>
    <w:rsid w:val="003C3259"/>
    <w:rsid w:val="003C53B4"/>
    <w:rsid w:val="003D35B8"/>
    <w:rsid w:val="003E23E8"/>
    <w:rsid w:val="00424437"/>
    <w:rsid w:val="00435DB9"/>
    <w:rsid w:val="0044362E"/>
    <w:rsid w:val="004622BA"/>
    <w:rsid w:val="0046338C"/>
    <w:rsid w:val="00480069"/>
    <w:rsid w:val="00494724"/>
    <w:rsid w:val="004D2E8A"/>
    <w:rsid w:val="004D4B84"/>
    <w:rsid w:val="004E49CD"/>
    <w:rsid w:val="00526C01"/>
    <w:rsid w:val="005335F9"/>
    <w:rsid w:val="00535165"/>
    <w:rsid w:val="005375E5"/>
    <w:rsid w:val="0055336A"/>
    <w:rsid w:val="005539E5"/>
    <w:rsid w:val="00560AD1"/>
    <w:rsid w:val="005A54D8"/>
    <w:rsid w:val="005A60C6"/>
    <w:rsid w:val="005B378F"/>
    <w:rsid w:val="005B6799"/>
    <w:rsid w:val="005D4495"/>
    <w:rsid w:val="005D75F1"/>
    <w:rsid w:val="005E4CDB"/>
    <w:rsid w:val="005F4654"/>
    <w:rsid w:val="005F5A73"/>
    <w:rsid w:val="00606A0F"/>
    <w:rsid w:val="00611BEE"/>
    <w:rsid w:val="006209C3"/>
    <w:rsid w:val="006212C3"/>
    <w:rsid w:val="006213EA"/>
    <w:rsid w:val="00682BFB"/>
    <w:rsid w:val="00685FEA"/>
    <w:rsid w:val="006A294E"/>
    <w:rsid w:val="006A5875"/>
    <w:rsid w:val="006D0554"/>
    <w:rsid w:val="006D53F8"/>
    <w:rsid w:val="006E557C"/>
    <w:rsid w:val="006F62EA"/>
    <w:rsid w:val="006F7643"/>
    <w:rsid w:val="007120EA"/>
    <w:rsid w:val="00721A8B"/>
    <w:rsid w:val="007252DD"/>
    <w:rsid w:val="00742DD6"/>
    <w:rsid w:val="00780D99"/>
    <w:rsid w:val="007A4912"/>
    <w:rsid w:val="007B37B5"/>
    <w:rsid w:val="007D4469"/>
    <w:rsid w:val="007E7968"/>
    <w:rsid w:val="008022C0"/>
    <w:rsid w:val="00817307"/>
    <w:rsid w:val="008321C2"/>
    <w:rsid w:val="008357C7"/>
    <w:rsid w:val="00836BF4"/>
    <w:rsid w:val="008611A6"/>
    <w:rsid w:val="00873EE1"/>
    <w:rsid w:val="0089178A"/>
    <w:rsid w:val="008978CC"/>
    <w:rsid w:val="008A45FD"/>
    <w:rsid w:val="008B2B94"/>
    <w:rsid w:val="008E3406"/>
    <w:rsid w:val="008F7451"/>
    <w:rsid w:val="00921713"/>
    <w:rsid w:val="0093735A"/>
    <w:rsid w:val="00940D75"/>
    <w:rsid w:val="00975F75"/>
    <w:rsid w:val="00976624"/>
    <w:rsid w:val="00980DAB"/>
    <w:rsid w:val="009A5BFD"/>
    <w:rsid w:val="009C584B"/>
    <w:rsid w:val="009C5B01"/>
    <w:rsid w:val="009D24CF"/>
    <w:rsid w:val="009D6D6D"/>
    <w:rsid w:val="00A344A3"/>
    <w:rsid w:val="00A404D5"/>
    <w:rsid w:val="00A414A4"/>
    <w:rsid w:val="00A45811"/>
    <w:rsid w:val="00A515A3"/>
    <w:rsid w:val="00A61F34"/>
    <w:rsid w:val="00A809B0"/>
    <w:rsid w:val="00AB598B"/>
    <w:rsid w:val="00AE6062"/>
    <w:rsid w:val="00B332B8"/>
    <w:rsid w:val="00B34ADD"/>
    <w:rsid w:val="00B46F2C"/>
    <w:rsid w:val="00B5600F"/>
    <w:rsid w:val="00B65251"/>
    <w:rsid w:val="00B657C5"/>
    <w:rsid w:val="00B81AC4"/>
    <w:rsid w:val="00B86083"/>
    <w:rsid w:val="00BB5453"/>
    <w:rsid w:val="00BC3780"/>
    <w:rsid w:val="00BE1D32"/>
    <w:rsid w:val="00BF001C"/>
    <w:rsid w:val="00C05F9F"/>
    <w:rsid w:val="00C27DA3"/>
    <w:rsid w:val="00C427C2"/>
    <w:rsid w:val="00C475A0"/>
    <w:rsid w:val="00C538E7"/>
    <w:rsid w:val="00C55BA5"/>
    <w:rsid w:val="00C717E1"/>
    <w:rsid w:val="00C875BD"/>
    <w:rsid w:val="00C97692"/>
    <w:rsid w:val="00CA78F5"/>
    <w:rsid w:val="00CB17DF"/>
    <w:rsid w:val="00CB77C0"/>
    <w:rsid w:val="00CC1E62"/>
    <w:rsid w:val="00CD2B90"/>
    <w:rsid w:val="00CF0339"/>
    <w:rsid w:val="00CF3B31"/>
    <w:rsid w:val="00D10203"/>
    <w:rsid w:val="00D15EE1"/>
    <w:rsid w:val="00D2291E"/>
    <w:rsid w:val="00D264F0"/>
    <w:rsid w:val="00D56621"/>
    <w:rsid w:val="00D70BB1"/>
    <w:rsid w:val="00D712E6"/>
    <w:rsid w:val="00D9151F"/>
    <w:rsid w:val="00D95EF3"/>
    <w:rsid w:val="00DB0765"/>
    <w:rsid w:val="00DB6E79"/>
    <w:rsid w:val="00DC2DDC"/>
    <w:rsid w:val="00DF38C8"/>
    <w:rsid w:val="00DF58BB"/>
    <w:rsid w:val="00E10C28"/>
    <w:rsid w:val="00E11657"/>
    <w:rsid w:val="00E12AC0"/>
    <w:rsid w:val="00E24D31"/>
    <w:rsid w:val="00E261D7"/>
    <w:rsid w:val="00E30D12"/>
    <w:rsid w:val="00E32157"/>
    <w:rsid w:val="00E50358"/>
    <w:rsid w:val="00E66EC0"/>
    <w:rsid w:val="00EA1226"/>
    <w:rsid w:val="00EB5A1C"/>
    <w:rsid w:val="00EC15D0"/>
    <w:rsid w:val="00EC6316"/>
    <w:rsid w:val="00EF551B"/>
    <w:rsid w:val="00F05050"/>
    <w:rsid w:val="00F11ECC"/>
    <w:rsid w:val="00F20A55"/>
    <w:rsid w:val="00F21E3E"/>
    <w:rsid w:val="00F23A9E"/>
    <w:rsid w:val="00F3572B"/>
    <w:rsid w:val="00F35806"/>
    <w:rsid w:val="00F446A9"/>
    <w:rsid w:val="00F53207"/>
    <w:rsid w:val="00F54C77"/>
    <w:rsid w:val="00F73DE5"/>
    <w:rsid w:val="00F8461A"/>
    <w:rsid w:val="00F91040"/>
    <w:rsid w:val="00F978CB"/>
    <w:rsid w:val="00FB4E4B"/>
    <w:rsid w:val="00FC3400"/>
    <w:rsid w:val="00FE7215"/>
    <w:rsid w:val="00FF5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semiHidden/>
    <w:pPr>
      <w:ind w:left="284" w:hanging="284"/>
      <w:jc w:val="both"/>
    </w:pPr>
    <w:rPr>
      <w:rFonts w:ascii="Times New Roman" w:eastAsia="Times New Roman" w:hAnsi="Times New Roman"/>
      <w:sz w:val="20"/>
    </w:rPr>
  </w:style>
  <w:style w:type="character" w:styleId="Rimandonotaapidipagina">
    <w:name w:val="footnote reference"/>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uiPriority w:val="35"/>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paragraph" w:styleId="Paragrafoelenco">
    <w:name w:val="List Paragraph"/>
    <w:basedOn w:val="Normale"/>
    <w:uiPriority w:val="34"/>
    <w:qFormat/>
    <w:rsid w:val="009A5BF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semiHidden/>
    <w:pPr>
      <w:ind w:left="284" w:hanging="284"/>
      <w:jc w:val="both"/>
    </w:pPr>
    <w:rPr>
      <w:rFonts w:ascii="Times New Roman" w:eastAsia="Times New Roman" w:hAnsi="Times New Roman"/>
      <w:sz w:val="20"/>
    </w:rPr>
  </w:style>
  <w:style w:type="character" w:styleId="Rimandonotaapidipagina">
    <w:name w:val="footnote reference"/>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uiPriority w:val="35"/>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paragraph" w:styleId="Paragrafoelenco">
    <w:name w:val="List Paragraph"/>
    <w:basedOn w:val="Normale"/>
    <w:uiPriority w:val="34"/>
    <w:qFormat/>
    <w:rsid w:val="009A5BF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27846">
      <w:bodyDiv w:val="1"/>
      <w:marLeft w:val="0"/>
      <w:marRight w:val="0"/>
      <w:marTop w:val="0"/>
      <w:marBottom w:val="0"/>
      <w:divBdr>
        <w:top w:val="none" w:sz="0" w:space="0" w:color="auto"/>
        <w:left w:val="none" w:sz="0" w:space="0" w:color="auto"/>
        <w:bottom w:val="none" w:sz="0" w:space="0" w:color="auto"/>
        <w:right w:val="none" w:sz="0" w:space="0" w:color="auto"/>
      </w:divBdr>
    </w:div>
    <w:div w:id="1071152792">
      <w:bodyDiv w:val="1"/>
      <w:marLeft w:val="0"/>
      <w:marRight w:val="0"/>
      <w:marTop w:val="0"/>
      <w:marBottom w:val="0"/>
      <w:divBdr>
        <w:top w:val="none" w:sz="0" w:space="0" w:color="auto"/>
        <w:left w:val="none" w:sz="0" w:space="0" w:color="auto"/>
        <w:bottom w:val="none" w:sz="0" w:space="0" w:color="auto"/>
        <w:right w:val="none" w:sz="0" w:space="0" w:color="auto"/>
      </w:divBdr>
    </w:div>
    <w:div w:id="1154106082">
      <w:bodyDiv w:val="1"/>
      <w:marLeft w:val="0"/>
      <w:marRight w:val="0"/>
      <w:marTop w:val="0"/>
      <w:marBottom w:val="0"/>
      <w:divBdr>
        <w:top w:val="none" w:sz="0" w:space="0" w:color="auto"/>
        <w:left w:val="none" w:sz="0" w:space="0" w:color="auto"/>
        <w:bottom w:val="none" w:sz="0" w:space="0" w:color="auto"/>
        <w:right w:val="none" w:sz="0" w:space="0" w:color="auto"/>
      </w:divBdr>
    </w:div>
    <w:div w:id="1258946637">
      <w:bodyDiv w:val="1"/>
      <w:marLeft w:val="0"/>
      <w:marRight w:val="0"/>
      <w:marTop w:val="0"/>
      <w:marBottom w:val="0"/>
      <w:divBdr>
        <w:top w:val="none" w:sz="0" w:space="0" w:color="auto"/>
        <w:left w:val="none" w:sz="0" w:space="0" w:color="auto"/>
        <w:bottom w:val="none" w:sz="0" w:space="0" w:color="auto"/>
        <w:right w:val="none" w:sz="0" w:space="0" w:color="auto"/>
      </w:divBdr>
    </w:div>
    <w:div w:id="1304778347">
      <w:bodyDiv w:val="1"/>
      <w:marLeft w:val="0"/>
      <w:marRight w:val="0"/>
      <w:marTop w:val="0"/>
      <w:marBottom w:val="0"/>
      <w:divBdr>
        <w:top w:val="none" w:sz="0" w:space="0" w:color="auto"/>
        <w:left w:val="none" w:sz="0" w:space="0" w:color="auto"/>
        <w:bottom w:val="none" w:sz="0" w:space="0" w:color="auto"/>
        <w:right w:val="none" w:sz="0" w:space="0" w:color="auto"/>
      </w:divBdr>
    </w:div>
    <w:div w:id="13699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6C535C-A42E-46C2-B4E8-99B0C4BB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1314</Words>
  <Characters>8274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DIREZIONE COMUNICAZIONE E IMMAGINE</vt:lpstr>
    </vt:vector>
  </TitlesOfParts>
  <Company>CONFCOMMERCIO</Company>
  <LinksUpToDate>false</LinksUpToDate>
  <CharactersWithSpaces>9569</CharactersWithSpaces>
  <SharedDoc>false</SharedDoc>
  <HLinks>
    <vt:vector size="18" baseType="variant">
      <vt:variant>
        <vt:i4>5570645</vt:i4>
      </vt:variant>
      <vt:variant>
        <vt:i4>6</vt:i4>
      </vt:variant>
      <vt:variant>
        <vt:i4>0</vt:i4>
      </vt:variant>
      <vt:variant>
        <vt:i4>5</vt:i4>
      </vt:variant>
      <vt:variant>
        <vt:lpwstr>http://www.confcommercio.it/home/Centro-stu/index.htm</vt:lpwstr>
      </vt:variant>
      <vt:variant>
        <vt:lpwstr/>
      </vt:variant>
      <vt:variant>
        <vt:i4>5505041</vt:i4>
      </vt:variant>
      <vt:variant>
        <vt:i4>3</vt:i4>
      </vt:variant>
      <vt:variant>
        <vt:i4>0</vt:i4>
      </vt:variant>
      <vt:variant>
        <vt:i4>5</vt:i4>
      </vt:variant>
      <vt:variant>
        <vt:lpwstr>http://twitter.com/Confcommercio</vt:lpwstr>
      </vt:variant>
      <vt:variant>
        <vt:lpwstr/>
      </vt:variant>
      <vt:variant>
        <vt:i4>1245190</vt:i4>
      </vt:variant>
      <vt:variant>
        <vt:i4>0</vt:i4>
      </vt:variant>
      <vt:variant>
        <vt:i4>0</vt:i4>
      </vt:variant>
      <vt:variant>
        <vt:i4>5</vt:i4>
      </vt:variant>
      <vt:variant>
        <vt:lpwstr>http://www.facebook.it/confcommercio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COMUNICAZIONE E IMMAGINE</dc:title>
  <dc:creator>AREA COM. IMMAGINE</dc:creator>
  <cp:lastModifiedBy>moretti</cp:lastModifiedBy>
  <cp:revision>11</cp:revision>
  <cp:lastPrinted>2014-01-23T14:04:00Z</cp:lastPrinted>
  <dcterms:created xsi:type="dcterms:W3CDTF">2014-01-22T15:39:00Z</dcterms:created>
  <dcterms:modified xsi:type="dcterms:W3CDTF">2014-01-23T16:56:00Z</dcterms:modified>
</cp:coreProperties>
</file>