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571" w:rsidRPr="004B15D1" w:rsidRDefault="009C61B0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6EB0910" wp14:editId="51C76C4D">
            <wp:simplePos x="0" y="0"/>
            <wp:positionH relativeFrom="column">
              <wp:posOffset>-104775</wp:posOffset>
            </wp:positionH>
            <wp:positionV relativeFrom="paragraph">
              <wp:posOffset>-641350</wp:posOffset>
            </wp:positionV>
            <wp:extent cx="1943100" cy="742315"/>
            <wp:effectExtent l="0" t="0" r="0" b="635"/>
            <wp:wrapNone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4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8E1022C" wp14:editId="2B1D1CEA">
            <wp:simplePos x="0" y="0"/>
            <wp:positionH relativeFrom="column">
              <wp:posOffset>3140075</wp:posOffset>
            </wp:positionH>
            <wp:positionV relativeFrom="paragraph">
              <wp:posOffset>-751840</wp:posOffset>
            </wp:positionV>
            <wp:extent cx="2171700" cy="963295"/>
            <wp:effectExtent l="0" t="0" r="0" b="8255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pStyle w:val="Intestazione"/>
        <w:pBdr>
          <w:top w:val="thinThickThinMediumGap" w:sz="24" w:space="1" w:color="993366"/>
        </w:pBdr>
        <w:tabs>
          <w:tab w:val="left" w:pos="284"/>
        </w:tabs>
        <w:spacing w:line="380" w:lineRule="atLeast"/>
        <w:rPr>
          <w:rFonts w:ascii="Garamond" w:hAnsi="Garamond"/>
        </w:rPr>
      </w:pPr>
    </w:p>
    <w:p w:rsidR="004607C4" w:rsidRPr="004607C4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mallCaps/>
          <w:sz w:val="40"/>
          <w:szCs w:val="40"/>
        </w:rPr>
      </w:pPr>
      <w:r w:rsidRPr="004607C4">
        <w:rPr>
          <w:rFonts w:ascii="Garamond" w:hAnsi="Garamond"/>
          <w:b/>
          <w:smallCaps/>
          <w:sz w:val="40"/>
          <w:szCs w:val="40"/>
        </w:rPr>
        <w:t xml:space="preserve">La </w:t>
      </w:r>
      <w:r w:rsidR="00454969" w:rsidRPr="004607C4">
        <w:rPr>
          <w:rFonts w:ascii="Garamond" w:hAnsi="Garamond"/>
          <w:b/>
          <w:smallCaps/>
          <w:sz w:val="40"/>
          <w:szCs w:val="40"/>
        </w:rPr>
        <w:t>mors</w:t>
      </w:r>
      <w:r w:rsidRPr="004607C4">
        <w:rPr>
          <w:rFonts w:ascii="Garamond" w:hAnsi="Garamond"/>
          <w:b/>
          <w:smallCaps/>
          <w:sz w:val="40"/>
          <w:szCs w:val="40"/>
        </w:rPr>
        <w:t>a della pressione fiscale</w:t>
      </w:r>
    </w:p>
    <w:p w:rsidR="00FA4571" w:rsidRPr="004607C4" w:rsidRDefault="004607C4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mallCaps/>
          <w:sz w:val="40"/>
          <w:szCs w:val="40"/>
        </w:rPr>
      </w:pPr>
      <w:r w:rsidRPr="004607C4">
        <w:rPr>
          <w:rFonts w:ascii="Garamond" w:hAnsi="Garamond"/>
          <w:b/>
          <w:smallCaps/>
          <w:sz w:val="40"/>
          <w:szCs w:val="40"/>
        </w:rPr>
        <w:t>durante la crisi</w:t>
      </w:r>
    </w:p>
    <w:p w:rsidR="00FA4571" w:rsidRPr="004B15D1" w:rsidRDefault="00FA4571" w:rsidP="00803C19">
      <w:pP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4B15D1" w:rsidRDefault="00FA4571" w:rsidP="00803C19">
      <w:pPr>
        <w:pStyle w:val="Intestazione"/>
        <w:pBdr>
          <w:top w:val="thinThickThinMediumGap" w:sz="24" w:space="1" w:color="993366"/>
        </w:pBdr>
        <w:tabs>
          <w:tab w:val="left" w:pos="284"/>
        </w:tabs>
        <w:spacing w:line="380" w:lineRule="atLeast"/>
        <w:rPr>
          <w:rFonts w:ascii="Garamond" w:hAnsi="Garamond"/>
        </w:rPr>
      </w:pPr>
    </w:p>
    <w:p w:rsidR="00FA4571" w:rsidRPr="00183B44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183B44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3C06C6" w:rsidRDefault="003C06C6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211D4D" w:rsidRDefault="00211D4D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211D4D" w:rsidRDefault="00211D4D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FA4571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</w:p>
    <w:p w:rsidR="00FA4571" w:rsidRPr="004B15D1" w:rsidRDefault="00454969" w:rsidP="00803C19">
      <w:pPr>
        <w:tabs>
          <w:tab w:val="left" w:pos="284"/>
        </w:tabs>
        <w:spacing w:line="380" w:lineRule="atLeast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Cernobbio</w:t>
      </w:r>
      <w:r w:rsidR="00FA4571" w:rsidRPr="004B15D1">
        <w:rPr>
          <w:rFonts w:ascii="Garamond" w:hAnsi="Garamond"/>
          <w:b/>
          <w:sz w:val="28"/>
          <w:szCs w:val="28"/>
        </w:rPr>
        <w:t xml:space="preserve">, </w:t>
      </w:r>
      <w:r>
        <w:rPr>
          <w:rFonts w:ascii="Garamond" w:hAnsi="Garamond"/>
          <w:b/>
          <w:sz w:val="28"/>
          <w:szCs w:val="28"/>
        </w:rPr>
        <w:t xml:space="preserve">22 </w:t>
      </w:r>
      <w:r w:rsidR="00FA4571">
        <w:rPr>
          <w:rFonts w:ascii="Garamond" w:hAnsi="Garamond"/>
          <w:b/>
          <w:sz w:val="28"/>
          <w:szCs w:val="28"/>
        </w:rPr>
        <w:t xml:space="preserve">marzo </w:t>
      </w:r>
      <w:r w:rsidR="00FA4571" w:rsidRPr="004B15D1">
        <w:rPr>
          <w:rFonts w:ascii="Garamond" w:hAnsi="Garamond"/>
          <w:b/>
          <w:sz w:val="28"/>
          <w:szCs w:val="28"/>
        </w:rPr>
        <w:t>201</w:t>
      </w:r>
      <w:r w:rsidR="00FA4571">
        <w:rPr>
          <w:rFonts w:ascii="Garamond" w:hAnsi="Garamond"/>
          <w:b/>
          <w:sz w:val="28"/>
          <w:szCs w:val="28"/>
        </w:rPr>
        <w:t>4</w:t>
      </w:r>
    </w:p>
    <w:p w:rsidR="003D63A8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 w:rsidRPr="002B4181">
        <w:rPr>
          <w:rFonts w:ascii="Garamond" w:hAnsi="Garamond"/>
        </w:rPr>
        <w:br w:type="page"/>
      </w: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  <w:b/>
        </w:rPr>
      </w:pPr>
      <w:bookmarkStart w:id="0" w:name="_GoBack"/>
      <w:bookmarkEnd w:id="0"/>
      <w:r w:rsidRPr="001A34A4">
        <w:rPr>
          <w:rFonts w:ascii="Garamond" w:hAnsi="Garamond"/>
          <w:b/>
        </w:rPr>
        <w:lastRenderedPageBreak/>
        <w:t>Aspetti generali</w:t>
      </w:r>
    </w:p>
    <w:p w:rsidR="003D63A8" w:rsidRPr="001A34A4" w:rsidRDefault="003D63A8" w:rsidP="000D0B16">
      <w:pPr>
        <w:widowControl w:val="0"/>
        <w:tabs>
          <w:tab w:val="left" w:pos="284"/>
        </w:tabs>
        <w:jc w:val="both"/>
        <w:rPr>
          <w:rFonts w:ascii="Garamond" w:hAnsi="Garamond"/>
          <w:b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Tra il 2008 e il 2013, l’economia italiana ha vissuto la più grave recessione della sua storia, subendo una perdita di prodotto di oltre 127 miliardi di euro (-8</w:t>
      </w:r>
      <w:r w:rsidR="000D0B16">
        <w:rPr>
          <w:rFonts w:ascii="Garamond" w:hAnsi="Garamond"/>
        </w:rPr>
        <w:t>,</w:t>
      </w:r>
      <w:r>
        <w:rPr>
          <w:rFonts w:ascii="Garamond" w:hAnsi="Garamond"/>
        </w:rPr>
        <w:t>5%) e registrando un calo di occupazione superiore a 1</w:t>
      </w:r>
      <w:r w:rsidR="000D0B16">
        <w:rPr>
          <w:rFonts w:ascii="Garamond" w:hAnsi="Garamond"/>
        </w:rPr>
        <w:t>,</w:t>
      </w:r>
      <w:r>
        <w:rPr>
          <w:rFonts w:ascii="Garamond" w:hAnsi="Garamond"/>
        </w:rPr>
        <w:t>7 milioni di unità (-6</w:t>
      </w:r>
      <w:r w:rsidR="000D0B16">
        <w:rPr>
          <w:rFonts w:ascii="Garamond" w:hAnsi="Garamond"/>
        </w:rPr>
        <w:t>,</w:t>
      </w:r>
      <w:r>
        <w:rPr>
          <w:rFonts w:ascii="Garamond" w:hAnsi="Garamond"/>
        </w:rPr>
        <w:t>9%).</w:t>
      </w: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In questi anni difficili, mentre tutte le variabili produttive hanno registrato forti decrementi</w:t>
      </w:r>
      <w:r w:rsidR="003D63A8">
        <w:rPr>
          <w:rFonts w:ascii="Garamond" w:hAnsi="Garamond"/>
        </w:rPr>
        <w:t>,</w:t>
      </w:r>
      <w:r>
        <w:rPr>
          <w:rFonts w:ascii="Garamond" w:hAnsi="Garamond"/>
        </w:rPr>
        <w:t xml:space="preserve"> la pressione fiscale ha continuato ad aumentare. Le entrate fiscali sono aumentate cumulativamente del 3</w:t>
      </w:r>
      <w:r w:rsidR="000D0B16">
        <w:rPr>
          <w:rFonts w:ascii="Garamond" w:hAnsi="Garamond"/>
        </w:rPr>
        <w:t>,</w:t>
      </w:r>
      <w:r>
        <w:rPr>
          <w:rFonts w:ascii="Garamond" w:hAnsi="Garamond"/>
        </w:rPr>
        <w:t>9% e di quasi 29 miliardi; il Pil nominale è cresciuto solo dello 0,4% e di meno di 6 miliardi.</w:t>
      </w:r>
    </w:p>
    <w:p w:rsidR="004607C4" w:rsidRDefault="004607C4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 xml:space="preserve">Nell’esperienza di questi anni, all’interno di un ciclo economico fortemente negativo, lo scollamento fra gli andamenti del Pil e dei livelli di imposizione può essere attribuito all’operare congiunto di </w:t>
      </w:r>
      <w:r w:rsidR="00454969">
        <w:rPr>
          <w:rFonts w:ascii="Garamond" w:hAnsi="Garamond"/>
        </w:rPr>
        <w:t>due</w:t>
      </w:r>
      <w:r>
        <w:rPr>
          <w:rFonts w:ascii="Garamond" w:hAnsi="Garamond"/>
        </w:rPr>
        <w:t xml:space="preserve"> fenomeni, distinti fra loro ma accomunati dal fatto di sospingere un aumento tendenziale della pressione fiscale:</w:t>
      </w:r>
    </w:p>
    <w:p w:rsidR="000D0B16" w:rsidRDefault="000D0B16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numPr>
          <w:ilvl w:val="0"/>
          <w:numId w:val="1"/>
        </w:num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il primo elemento è rappresentato dalle manovre correttive di finanza pubblica che, dal lato delle entrate, hanno contrastat</w:t>
      </w:r>
      <w:r w:rsidR="003D63A8">
        <w:rPr>
          <w:rFonts w:ascii="Garamond" w:hAnsi="Garamond"/>
        </w:rPr>
        <w:t>o</w:t>
      </w:r>
      <w:r>
        <w:rPr>
          <w:rFonts w:ascii="Garamond" w:hAnsi="Garamond"/>
        </w:rPr>
        <w:t xml:space="preserve"> la flessione ciclica del gettito;</w:t>
      </w:r>
    </w:p>
    <w:p w:rsidR="00FA4571" w:rsidRDefault="00FA4571" w:rsidP="000D0B16">
      <w:pPr>
        <w:numPr>
          <w:ilvl w:val="0"/>
          <w:numId w:val="1"/>
        </w:num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il secondo elemento è il continuo aumento delle tasse locali, risultato di un sistema federalista che sembra aver sovrapposto e non ancor</w:t>
      </w:r>
      <w:r w:rsidR="00454969">
        <w:rPr>
          <w:rFonts w:ascii="Garamond" w:hAnsi="Garamond"/>
        </w:rPr>
        <w:t>a</w:t>
      </w:r>
      <w:r>
        <w:rPr>
          <w:rFonts w:ascii="Garamond" w:hAnsi="Garamond"/>
        </w:rPr>
        <w:t xml:space="preserve"> distribuito le fun</w:t>
      </w:r>
      <w:r w:rsidR="00AA3B76">
        <w:rPr>
          <w:rFonts w:ascii="Garamond" w:hAnsi="Garamond"/>
        </w:rPr>
        <w:t>zioni di governo dell’economia.</w:t>
      </w:r>
    </w:p>
    <w:p w:rsidR="000D0B16" w:rsidRDefault="000D0B16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 xml:space="preserve">Siamo dunque in presenza di una pressione fiscale che tende ad aumentare lungo </w:t>
      </w:r>
      <w:r w:rsidR="003D63A8">
        <w:rPr>
          <w:rFonts w:ascii="Garamond" w:hAnsi="Garamond"/>
        </w:rPr>
        <w:t>du</w:t>
      </w:r>
      <w:r>
        <w:rPr>
          <w:rFonts w:ascii="Garamond" w:hAnsi="Garamond"/>
        </w:rPr>
        <w:t xml:space="preserve">e direttrici, una vera e propria </w:t>
      </w:r>
      <w:r w:rsidR="003D63A8">
        <w:rPr>
          <w:rFonts w:ascii="Garamond" w:hAnsi="Garamond"/>
        </w:rPr>
        <w:t>morsa</w:t>
      </w:r>
      <w:r>
        <w:rPr>
          <w:rFonts w:ascii="Garamond" w:hAnsi="Garamond"/>
        </w:rPr>
        <w:t xml:space="preserve">, da cui conseguono impulsi recessivi che ostacolano l’auspicata ripresa dell’economia. Se si vogliono rilanciare </w:t>
      </w:r>
      <w:r w:rsidR="00AA3B76">
        <w:rPr>
          <w:rFonts w:ascii="Garamond" w:hAnsi="Garamond"/>
        </w:rPr>
        <w:t>le prospettive di sviluppo del P</w:t>
      </w:r>
      <w:r>
        <w:rPr>
          <w:rFonts w:ascii="Garamond" w:hAnsi="Garamond"/>
        </w:rPr>
        <w:t xml:space="preserve">aese, </w:t>
      </w:r>
      <w:r w:rsidR="00F07DCB">
        <w:rPr>
          <w:rFonts w:ascii="Garamond" w:hAnsi="Garamond"/>
        </w:rPr>
        <w:t xml:space="preserve">la priorità irrinunciabile per l’azione di politica economica è quella di </w:t>
      </w:r>
      <w:r>
        <w:rPr>
          <w:rFonts w:ascii="Garamond" w:hAnsi="Garamond"/>
        </w:rPr>
        <w:t>invertire la tendenza crescente delle imposte</w:t>
      </w:r>
      <w:r w:rsidR="00F07DCB">
        <w:rPr>
          <w:rFonts w:ascii="Garamond" w:hAnsi="Garamond"/>
        </w:rPr>
        <w:t xml:space="preserve">. </w:t>
      </w:r>
    </w:p>
    <w:p w:rsidR="00FA4571" w:rsidRDefault="00FA4571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0D0B16" w:rsidRDefault="000D0B16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FA4571" w:rsidRPr="001A34A4" w:rsidRDefault="00FA4571" w:rsidP="000D0B16">
      <w:pPr>
        <w:tabs>
          <w:tab w:val="left" w:pos="284"/>
        </w:tabs>
        <w:jc w:val="both"/>
        <w:rPr>
          <w:rFonts w:ascii="Garamond" w:hAnsi="Garamond"/>
          <w:b/>
        </w:rPr>
      </w:pPr>
      <w:r w:rsidRPr="001A34A4">
        <w:rPr>
          <w:rFonts w:ascii="Garamond" w:hAnsi="Garamond"/>
          <w:b/>
        </w:rPr>
        <w:t>La manovra di finanza pubblica e l’aumento delle tasse</w:t>
      </w:r>
    </w:p>
    <w:p w:rsidR="003D63A8" w:rsidRDefault="003D63A8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 xml:space="preserve">Tra il 2008 e il 2013, </w:t>
      </w:r>
      <w:r w:rsidRPr="002B4181">
        <w:rPr>
          <w:rFonts w:ascii="Garamond" w:hAnsi="Garamond"/>
        </w:rPr>
        <w:t xml:space="preserve">la manovra di finanza pubblica ha </w:t>
      </w:r>
      <w:r>
        <w:rPr>
          <w:rFonts w:ascii="Garamond" w:hAnsi="Garamond"/>
        </w:rPr>
        <w:t xml:space="preserve">sempre </w:t>
      </w:r>
      <w:r w:rsidRPr="002B4181">
        <w:rPr>
          <w:rFonts w:ascii="Garamond" w:hAnsi="Garamond"/>
        </w:rPr>
        <w:t>aumentato il livello dell</w:t>
      </w:r>
      <w:r>
        <w:rPr>
          <w:rFonts w:ascii="Garamond" w:hAnsi="Garamond"/>
        </w:rPr>
        <w:t xml:space="preserve">e tasse. </w:t>
      </w:r>
      <w:r w:rsidRPr="002B4181">
        <w:rPr>
          <w:rFonts w:ascii="Garamond" w:hAnsi="Garamond"/>
        </w:rPr>
        <w:t xml:space="preserve">Complessivamente, </w:t>
      </w:r>
      <w:r>
        <w:rPr>
          <w:rFonts w:ascii="Garamond" w:hAnsi="Garamond"/>
        </w:rPr>
        <w:t>nel periodo considerato le manovre correttive hanno</w:t>
      </w:r>
      <w:r w:rsidR="000D0B16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scaricato sul sistema economico italiano un aggravio di imposta di oltre </w:t>
      </w:r>
      <w:r w:rsidRPr="002B4181">
        <w:rPr>
          <w:rFonts w:ascii="Garamond" w:hAnsi="Garamond"/>
        </w:rPr>
        <w:t>56 miliardi</w:t>
      </w:r>
      <w:r>
        <w:rPr>
          <w:rFonts w:ascii="Garamond" w:hAnsi="Garamond"/>
        </w:rPr>
        <w:t>. In quota di Pil, l’aumento delle imposte attribuibile al solo operare dell’azione discr</w:t>
      </w:r>
      <w:r w:rsidR="00AA3B76">
        <w:rPr>
          <w:rFonts w:ascii="Garamond" w:hAnsi="Garamond"/>
        </w:rPr>
        <w:t>ezionale del G</w:t>
      </w:r>
      <w:r>
        <w:rPr>
          <w:rFonts w:ascii="Garamond" w:hAnsi="Garamond"/>
        </w:rPr>
        <w:t>overno è stato</w:t>
      </w:r>
      <w:r w:rsidR="003C06C6">
        <w:rPr>
          <w:rFonts w:ascii="Garamond" w:hAnsi="Garamond"/>
        </w:rPr>
        <w:t>, nel periodo considerato,</w:t>
      </w:r>
      <w:r>
        <w:rPr>
          <w:rFonts w:ascii="Garamond" w:hAnsi="Garamond"/>
        </w:rPr>
        <w:t xml:space="preserve"> pari a</w:t>
      </w:r>
      <w:r w:rsidR="00211D4D">
        <w:rPr>
          <w:rFonts w:ascii="Garamond" w:hAnsi="Garamond"/>
        </w:rPr>
        <w:t>l</w:t>
      </w:r>
      <w:r>
        <w:rPr>
          <w:rFonts w:ascii="Garamond" w:hAnsi="Garamond"/>
        </w:rPr>
        <w:t xml:space="preserve"> 3,5</w:t>
      </w:r>
      <w:r w:rsidR="00211D4D">
        <w:rPr>
          <w:rFonts w:ascii="Garamond" w:hAnsi="Garamond"/>
        </w:rPr>
        <w:t>%</w:t>
      </w:r>
      <w:r w:rsidRPr="00EA3C30">
        <w:rPr>
          <w:rFonts w:ascii="Garamond" w:hAnsi="Garamond"/>
        </w:rPr>
        <w:t>.</w:t>
      </w:r>
    </w:p>
    <w:p w:rsidR="009614D9" w:rsidRDefault="009614D9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 w:rsidRPr="001A34A4">
        <w:rPr>
          <w:rFonts w:ascii="Garamond" w:hAnsi="Garamond"/>
        </w:rPr>
        <w:t xml:space="preserve">Nel </w:t>
      </w:r>
      <w:r w:rsidR="009C61B0" w:rsidRPr="001A34A4">
        <w:rPr>
          <w:rFonts w:ascii="Garamond" w:hAnsi="Garamond"/>
        </w:rPr>
        <w:t>periodo</w:t>
      </w:r>
      <w:r w:rsidRPr="001A34A4">
        <w:rPr>
          <w:rFonts w:ascii="Garamond" w:hAnsi="Garamond"/>
        </w:rPr>
        <w:t xml:space="preserve"> 2008-2013, gli andamenti negativi del ciclo economico avrebbero giustificato un aumento delle imposte sulle famiglie limitato allo 0,4% annuo</w:t>
      </w:r>
      <w:r>
        <w:rPr>
          <w:noProof/>
          <w:lang w:eastAsia="it-IT"/>
        </w:rPr>
        <w:t xml:space="preserve">. </w:t>
      </w:r>
      <w:r>
        <w:rPr>
          <w:rFonts w:ascii="Garamond" w:hAnsi="Garamond"/>
        </w:rPr>
        <w:t>Gli aumenti effettivi delle imposte sulle famiglie hanno superato questi valori. Nel caso della sola imposizione sui redditi l’aumento medio annuo è stato dell’1,4%; considerando anche la componente patrimoniale, l’incremento medio annuo è stato dell</w:t>
      </w:r>
      <w:r w:rsidR="003D63A8">
        <w:rPr>
          <w:rFonts w:ascii="Garamond" w:hAnsi="Garamond"/>
        </w:rPr>
        <w:t>’</w:t>
      </w:r>
      <w:r>
        <w:rPr>
          <w:rFonts w:ascii="Garamond" w:hAnsi="Garamond"/>
        </w:rPr>
        <w:t>1</w:t>
      </w:r>
      <w:r w:rsidR="003D63A8">
        <w:rPr>
          <w:rFonts w:ascii="Garamond" w:hAnsi="Garamond"/>
        </w:rPr>
        <w:t>,</w:t>
      </w:r>
      <w:r>
        <w:rPr>
          <w:rFonts w:ascii="Garamond" w:hAnsi="Garamond"/>
        </w:rPr>
        <w:t>6%. L’aumento delle imposte sulle famiglie è risultato quindi tre volte superiore rispetto a quanto compatibile con le esigenza di stabilizzazione del ciclo economico.</w:t>
      </w:r>
    </w:p>
    <w:p w:rsidR="009614D9" w:rsidRDefault="009614D9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In termini cumulati, a fine 2013 il livello di imposizione sulle famiglie è giunto a registrare aumenti dell’8,3</w:t>
      </w:r>
      <w:r w:rsidR="00AA3B76">
        <w:rPr>
          <w:rFonts w:ascii="Garamond" w:hAnsi="Garamond"/>
        </w:rPr>
        <w:t>%</w:t>
      </w:r>
      <w:r>
        <w:rPr>
          <w:rFonts w:ascii="Garamond" w:hAnsi="Garamond"/>
        </w:rPr>
        <w:t xml:space="preserve"> e del 10%, a seconda </w:t>
      </w:r>
      <w:r w:rsidRPr="00363DF1">
        <w:rPr>
          <w:rFonts w:ascii="Garamond" w:hAnsi="Garamond"/>
        </w:rPr>
        <w:t xml:space="preserve">che si </w:t>
      </w:r>
      <w:r w:rsidR="001757AA" w:rsidRPr="00363DF1">
        <w:rPr>
          <w:rFonts w:ascii="Garamond" w:hAnsi="Garamond"/>
        </w:rPr>
        <w:t>escluda</w:t>
      </w:r>
      <w:r>
        <w:rPr>
          <w:rFonts w:ascii="Garamond" w:hAnsi="Garamond"/>
        </w:rPr>
        <w:t xml:space="preserve"> o meno la tassazione patrimoniale; la recessione del Pil avrebbe giustificato un aumento non superiore al 2,5%. Questo eccesso di tassazione ha ridotto il reddito disponibile delle famiglie italiane di 10 miliardi in media d’anno. </w:t>
      </w:r>
    </w:p>
    <w:p w:rsidR="004607C4" w:rsidRDefault="004607C4" w:rsidP="000D0B16">
      <w:pPr>
        <w:widowControl w:val="0"/>
        <w:tabs>
          <w:tab w:val="left" w:pos="284"/>
        </w:tabs>
        <w:rPr>
          <w:rFonts w:ascii="Garamond" w:hAnsi="Garamond"/>
          <w:i/>
          <w:sz w:val="22"/>
          <w:szCs w:val="22"/>
        </w:rPr>
      </w:pPr>
    </w:p>
    <w:p w:rsidR="005D7C2F" w:rsidRPr="009614D9" w:rsidRDefault="005D7C2F" w:rsidP="000D0B16">
      <w:pPr>
        <w:widowControl w:val="0"/>
        <w:tabs>
          <w:tab w:val="left" w:pos="284"/>
        </w:tabs>
        <w:rPr>
          <w:rFonts w:ascii="Garamond" w:hAnsi="Garamond"/>
          <w:i/>
          <w:sz w:val="22"/>
          <w:szCs w:val="22"/>
        </w:rPr>
      </w:pPr>
    </w:p>
    <w:p w:rsidR="00FA4571" w:rsidRPr="009614D9" w:rsidRDefault="00FA4571" w:rsidP="00546858">
      <w:pPr>
        <w:widowControl w:val="0"/>
        <w:tabs>
          <w:tab w:val="left" w:pos="284"/>
        </w:tabs>
        <w:spacing w:line="300" w:lineRule="exact"/>
        <w:jc w:val="center"/>
        <w:rPr>
          <w:rFonts w:ascii="Garamond" w:hAnsi="Garamond"/>
          <w:b/>
          <w:sz w:val="22"/>
          <w:szCs w:val="22"/>
        </w:rPr>
      </w:pPr>
      <w:r w:rsidRPr="009614D9">
        <w:rPr>
          <w:rFonts w:ascii="Garamond" w:hAnsi="Garamond"/>
          <w:b/>
          <w:sz w:val="22"/>
          <w:szCs w:val="22"/>
        </w:rPr>
        <w:t xml:space="preserve">Grafico </w:t>
      </w:r>
      <w:r w:rsidR="00096C34" w:rsidRPr="009614D9">
        <w:rPr>
          <w:rFonts w:ascii="Garamond" w:hAnsi="Garamond"/>
          <w:b/>
          <w:sz w:val="22"/>
          <w:szCs w:val="22"/>
        </w:rPr>
        <w:t>1</w:t>
      </w:r>
      <w:r w:rsidRPr="009614D9">
        <w:rPr>
          <w:rFonts w:ascii="Garamond" w:hAnsi="Garamond"/>
          <w:b/>
          <w:sz w:val="22"/>
          <w:szCs w:val="22"/>
        </w:rPr>
        <w:t>. L’eccesso di tassazione gravante sulle famiglie</w:t>
      </w:r>
    </w:p>
    <w:p w:rsidR="00FA4571" w:rsidRPr="009614D9" w:rsidRDefault="00FA4571" w:rsidP="00546858">
      <w:pPr>
        <w:widowControl w:val="0"/>
        <w:tabs>
          <w:tab w:val="left" w:pos="284"/>
        </w:tabs>
        <w:spacing w:line="300" w:lineRule="exact"/>
        <w:jc w:val="center"/>
        <w:rPr>
          <w:rFonts w:ascii="Garamond" w:hAnsi="Garamond"/>
          <w:sz w:val="22"/>
          <w:szCs w:val="22"/>
        </w:rPr>
      </w:pPr>
      <w:r w:rsidRPr="009614D9">
        <w:rPr>
          <w:rFonts w:ascii="Garamond" w:hAnsi="Garamond"/>
          <w:sz w:val="22"/>
          <w:szCs w:val="22"/>
        </w:rPr>
        <w:t>(2008-2013, mili</w:t>
      </w:r>
      <w:r w:rsidR="003C06C6">
        <w:rPr>
          <w:rFonts w:ascii="Garamond" w:hAnsi="Garamond"/>
          <w:sz w:val="22"/>
          <w:szCs w:val="22"/>
        </w:rPr>
        <w:t>ardi</w:t>
      </w:r>
      <w:r w:rsidRPr="009614D9">
        <w:rPr>
          <w:rFonts w:ascii="Garamond" w:hAnsi="Garamond"/>
          <w:sz w:val="22"/>
          <w:szCs w:val="22"/>
        </w:rPr>
        <w:t xml:space="preserve"> di euro, medie annue)</w:t>
      </w:r>
    </w:p>
    <w:p w:rsidR="00FA4571" w:rsidRPr="00BB401F" w:rsidRDefault="00363DF1" w:rsidP="009614D9">
      <w:pPr>
        <w:widowControl w:val="0"/>
        <w:tabs>
          <w:tab w:val="left" w:pos="284"/>
        </w:tabs>
        <w:spacing w:line="360" w:lineRule="auto"/>
        <w:rPr>
          <w:rFonts w:ascii="Garamond" w:hAnsi="Garamond"/>
          <w:i/>
          <w:sz w:val="20"/>
          <w:szCs w:val="20"/>
        </w:rPr>
      </w:pPr>
      <w:r w:rsidRPr="00591D24">
        <w:rPr>
          <w:noProof/>
          <w:lang w:eastAsia="it-IT"/>
        </w:rPr>
        <w:drawing>
          <wp:inline distT="0" distB="0" distL="0" distR="0" wp14:anchorId="125FCB9A" wp14:editId="00128680">
            <wp:extent cx="5039360" cy="2587658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571" w:rsidRPr="00BB401F">
        <w:rPr>
          <w:rFonts w:ascii="Garamond" w:hAnsi="Garamond"/>
          <w:i/>
          <w:sz w:val="20"/>
          <w:szCs w:val="20"/>
        </w:rPr>
        <w:t>Fonte: elaborazioni</w:t>
      </w:r>
      <w:r w:rsidR="00BB401F" w:rsidRPr="00BB401F">
        <w:rPr>
          <w:rFonts w:ascii="Garamond" w:hAnsi="Garamond"/>
          <w:i/>
          <w:sz w:val="20"/>
          <w:szCs w:val="20"/>
        </w:rPr>
        <w:t xml:space="preserve"> Confcommercio-CER </w:t>
      </w:r>
      <w:r w:rsidR="00FA4571" w:rsidRPr="00BB401F">
        <w:rPr>
          <w:rFonts w:ascii="Garamond" w:hAnsi="Garamond"/>
          <w:i/>
          <w:sz w:val="20"/>
          <w:szCs w:val="20"/>
        </w:rPr>
        <w:t xml:space="preserve">su dati Istat, Ocse, Commissione </w:t>
      </w:r>
      <w:r w:rsidR="009C61B0" w:rsidRPr="00BB401F">
        <w:rPr>
          <w:rFonts w:ascii="Garamond" w:hAnsi="Garamond"/>
          <w:i/>
          <w:sz w:val="20"/>
          <w:szCs w:val="20"/>
        </w:rPr>
        <w:t>europea</w:t>
      </w:r>
    </w:p>
    <w:p w:rsidR="005D7C2F" w:rsidRDefault="005D7C2F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5D7C2F" w:rsidRDefault="005D7C2F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Dall’inizio della crisi, è aumentata anche la tassazione indiretta, che ha inoltre determinato un aumento dei prezzi dell’1,7 per cento, contribuendo a portare il tasso di inflazione del periodo, sempre in termini cumulati, dal 9,9</w:t>
      </w:r>
      <w:r w:rsidR="00AA3B76">
        <w:rPr>
          <w:rFonts w:ascii="Garamond" w:hAnsi="Garamond"/>
        </w:rPr>
        <w:t>%</w:t>
      </w:r>
      <w:r>
        <w:rPr>
          <w:rFonts w:ascii="Garamond" w:hAnsi="Garamond"/>
        </w:rPr>
        <w:t xml:space="preserve"> all’11,6%. Questa maggior inflazione ha eroso il potere d’acquisto delle famiglie, con una perdita </w:t>
      </w:r>
      <w:r w:rsidR="00AA3B76">
        <w:rPr>
          <w:rFonts w:ascii="Garamond" w:hAnsi="Garamond"/>
        </w:rPr>
        <w:t xml:space="preserve">cumulata </w:t>
      </w:r>
      <w:r>
        <w:rPr>
          <w:rFonts w:ascii="Garamond" w:hAnsi="Garamond"/>
        </w:rPr>
        <w:t xml:space="preserve">che a fine </w:t>
      </w:r>
      <w:smartTag w:uri="urn:schemas-microsoft-com:office:smarttags" w:element="metricconverter">
        <w:smartTagPr>
          <w:attr w:name="ProductID" w:val="2013 ha"/>
        </w:smartTagPr>
        <w:r>
          <w:rPr>
            <w:rFonts w:ascii="Garamond" w:hAnsi="Garamond"/>
          </w:rPr>
          <w:t>2013 ha</w:t>
        </w:r>
      </w:smartTag>
      <w:r>
        <w:rPr>
          <w:rFonts w:ascii="Garamond" w:hAnsi="Garamond"/>
        </w:rPr>
        <w:t xml:space="preserve"> raggiunto gli 11 miliardi di euro.</w:t>
      </w:r>
    </w:p>
    <w:p w:rsidR="00FA4571" w:rsidRDefault="00FA4571" w:rsidP="000D0B16">
      <w:p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Nel complesso, l’aumento delle imposte spiega circa un terzo della diminuzione dei consumi che l’Italia ha sperimentato nel periodo 2008-2013.</w:t>
      </w:r>
    </w:p>
    <w:p w:rsidR="003D63A8" w:rsidRDefault="003D63A8" w:rsidP="000D0B16">
      <w:pPr>
        <w:widowControl w:val="0"/>
        <w:tabs>
          <w:tab w:val="left" w:pos="284"/>
        </w:tabs>
        <w:jc w:val="both"/>
        <w:rPr>
          <w:rFonts w:ascii="Garamond" w:hAnsi="Garamond"/>
          <w:sz w:val="22"/>
          <w:szCs w:val="22"/>
        </w:rPr>
      </w:pPr>
    </w:p>
    <w:p w:rsidR="005D7C2F" w:rsidRDefault="005D7C2F" w:rsidP="000D0B16">
      <w:pPr>
        <w:widowControl w:val="0"/>
        <w:tabs>
          <w:tab w:val="left" w:pos="284"/>
        </w:tabs>
        <w:jc w:val="both"/>
        <w:rPr>
          <w:rFonts w:ascii="Garamond" w:hAnsi="Garamond"/>
          <w:sz w:val="22"/>
          <w:szCs w:val="22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  <w:b/>
        </w:rPr>
      </w:pPr>
      <w:r w:rsidRPr="003A27F8">
        <w:rPr>
          <w:rFonts w:ascii="Garamond" w:hAnsi="Garamond"/>
          <w:b/>
        </w:rPr>
        <w:t>Il fisco locale e l’aumento delle tasse</w:t>
      </w:r>
    </w:p>
    <w:p w:rsidR="005D7C2F" w:rsidRDefault="005D7C2F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La fiscalità locale ha direttamente contribuito, in questi anni di recessione, ad aumentare il livello della tassazione. A fine 2012, il livello di prelievo locale è risultato superiore del 5</w:t>
      </w:r>
      <w:r w:rsidR="000D0B16">
        <w:rPr>
          <w:rFonts w:ascii="Garamond" w:hAnsi="Garamond"/>
        </w:rPr>
        <w:t>,</w:t>
      </w:r>
      <w:r>
        <w:rPr>
          <w:rFonts w:ascii="Garamond" w:hAnsi="Garamond"/>
        </w:rPr>
        <w:t>6% rispetto al 2008 e del 13% rispetto al 2009; nello stesso periodo, la tassazione che fa capo alle Amministrazioni centrali è aumentata al più modesto saggio del 3</w:t>
      </w:r>
      <w:r w:rsidR="000D0B16">
        <w:rPr>
          <w:rFonts w:ascii="Garamond" w:hAnsi="Garamond"/>
        </w:rPr>
        <w:t>,</w:t>
      </w:r>
      <w:r>
        <w:rPr>
          <w:rFonts w:ascii="Garamond" w:hAnsi="Garamond"/>
        </w:rPr>
        <w:t xml:space="preserve">8%. </w:t>
      </w:r>
    </w:p>
    <w:p w:rsidR="009614D9" w:rsidRDefault="009614D9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5D7C2F" w:rsidRPr="009614D9" w:rsidRDefault="00FA4571" w:rsidP="000D0B16">
      <w:pPr>
        <w:widowControl w:val="0"/>
        <w:tabs>
          <w:tab w:val="left" w:pos="284"/>
        </w:tabs>
        <w:spacing w:line="300" w:lineRule="exact"/>
        <w:jc w:val="center"/>
        <w:rPr>
          <w:rFonts w:ascii="Garamond" w:hAnsi="Garamond"/>
          <w:b/>
          <w:sz w:val="22"/>
          <w:szCs w:val="22"/>
        </w:rPr>
      </w:pPr>
      <w:r w:rsidRPr="009614D9">
        <w:rPr>
          <w:rFonts w:ascii="Garamond" w:hAnsi="Garamond"/>
          <w:b/>
          <w:sz w:val="22"/>
          <w:szCs w:val="22"/>
        </w:rPr>
        <w:t xml:space="preserve">Grafico </w:t>
      </w:r>
      <w:r w:rsidR="00096C34" w:rsidRPr="009614D9">
        <w:rPr>
          <w:rFonts w:ascii="Garamond" w:hAnsi="Garamond"/>
          <w:b/>
          <w:sz w:val="22"/>
          <w:szCs w:val="22"/>
        </w:rPr>
        <w:t>3</w:t>
      </w:r>
      <w:r w:rsidRPr="009614D9">
        <w:rPr>
          <w:rFonts w:ascii="Garamond" w:hAnsi="Garamond"/>
          <w:b/>
          <w:sz w:val="22"/>
          <w:szCs w:val="22"/>
        </w:rPr>
        <w:t>. L’andamento della pressione fiscale per livelli di governo</w:t>
      </w:r>
    </w:p>
    <w:p w:rsidR="00FA4571" w:rsidRPr="009614D9" w:rsidRDefault="00FA4571" w:rsidP="000D0B16">
      <w:pPr>
        <w:widowControl w:val="0"/>
        <w:tabs>
          <w:tab w:val="left" w:pos="284"/>
        </w:tabs>
        <w:spacing w:line="300" w:lineRule="exact"/>
        <w:jc w:val="center"/>
        <w:rPr>
          <w:rFonts w:ascii="Garamond" w:hAnsi="Garamond"/>
          <w:sz w:val="22"/>
          <w:szCs w:val="22"/>
        </w:rPr>
      </w:pPr>
      <w:r w:rsidRPr="009614D9">
        <w:rPr>
          <w:rFonts w:ascii="Garamond" w:hAnsi="Garamond"/>
          <w:sz w:val="22"/>
          <w:szCs w:val="22"/>
        </w:rPr>
        <w:t>(in % del Pil)</w:t>
      </w:r>
    </w:p>
    <w:p w:rsidR="00FA4571" w:rsidRPr="00920C53" w:rsidRDefault="00454969" w:rsidP="00AD79CB">
      <w:pPr>
        <w:tabs>
          <w:tab w:val="left" w:pos="284"/>
        </w:tabs>
        <w:spacing w:before="60" w:line="360" w:lineRule="atLeast"/>
        <w:ind w:left="284" w:hanging="284"/>
        <w:jc w:val="center"/>
        <w:rPr>
          <w:rFonts w:ascii="Garamond" w:hAnsi="Garamond"/>
        </w:rPr>
      </w:pPr>
      <w:r>
        <w:rPr>
          <w:noProof/>
          <w:lang w:eastAsia="it-IT"/>
        </w:rPr>
        <w:drawing>
          <wp:inline distT="0" distB="0" distL="0" distR="0">
            <wp:extent cx="4210050" cy="2171700"/>
            <wp:effectExtent l="0" t="0" r="0" b="0"/>
            <wp:docPr id="6" name="Immagin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71" w:rsidRPr="00BB401F" w:rsidRDefault="00FA4571" w:rsidP="000D0B16">
      <w:pPr>
        <w:ind w:firstLine="851"/>
        <w:jc w:val="both"/>
        <w:rPr>
          <w:rFonts w:ascii="Garamond" w:hAnsi="Garamond"/>
          <w:i/>
          <w:sz w:val="20"/>
          <w:szCs w:val="20"/>
        </w:rPr>
      </w:pPr>
      <w:r w:rsidRPr="00BB401F">
        <w:rPr>
          <w:rFonts w:ascii="Garamond" w:hAnsi="Garamond"/>
          <w:i/>
          <w:sz w:val="20"/>
          <w:szCs w:val="20"/>
        </w:rPr>
        <w:t xml:space="preserve">Fonte: elaborazioni </w:t>
      </w:r>
      <w:r w:rsidR="00BB401F" w:rsidRPr="00BB401F">
        <w:rPr>
          <w:rFonts w:ascii="Garamond" w:hAnsi="Garamond"/>
          <w:i/>
          <w:sz w:val="20"/>
          <w:szCs w:val="20"/>
        </w:rPr>
        <w:t xml:space="preserve">Confcommercio-CER </w:t>
      </w:r>
      <w:r w:rsidRPr="00BB401F">
        <w:rPr>
          <w:rFonts w:ascii="Garamond" w:hAnsi="Garamond"/>
          <w:i/>
          <w:sz w:val="20"/>
          <w:szCs w:val="20"/>
        </w:rPr>
        <w:t>su dati Istat</w:t>
      </w:r>
    </w:p>
    <w:p w:rsidR="005D7C2F" w:rsidRDefault="005D7C2F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1757AA" w:rsidRDefault="001757AA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 xml:space="preserve">L’aumento della pressione fiscale locale negli anni 2008-2012 si inserisce in una tendenza di più lungo periodo: dal </w:t>
      </w:r>
      <w:smartTag w:uri="urn:schemas-microsoft-com:office:smarttags" w:element="metricconverter">
        <w:smartTagPr>
          <w:attr w:name="ProductID" w:val="1990 a"/>
        </w:smartTagPr>
        <w:r>
          <w:rPr>
            <w:rFonts w:ascii="Garamond" w:hAnsi="Garamond"/>
          </w:rPr>
          <w:t>1990 a</w:t>
        </w:r>
      </w:smartTag>
      <w:r>
        <w:rPr>
          <w:rFonts w:ascii="Garamond" w:hAnsi="Garamond"/>
        </w:rPr>
        <w:t xml:space="preserve"> oggi, il peso del fisco locale è salito dal 2,1</w:t>
      </w:r>
      <w:r w:rsidR="00AA3B76">
        <w:rPr>
          <w:rFonts w:ascii="Garamond" w:hAnsi="Garamond"/>
        </w:rPr>
        <w:t>%</w:t>
      </w:r>
      <w:r>
        <w:rPr>
          <w:rFonts w:ascii="Garamond" w:hAnsi="Garamond"/>
        </w:rPr>
        <w:t xml:space="preserve"> al 7% del Pil.</w:t>
      </w:r>
    </w:p>
    <w:p w:rsidR="009614D9" w:rsidRDefault="009614D9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L’intervento fiscale attuato a livello locale si caratterizza, oltre che per la sua dinamica crescente, per il forte grado di differenziazione territoriale, evidenziata dall’ampia dispersione delle aliquote dell’Irap e delle addizionali pagate nelle singole regioni. I</w:t>
      </w:r>
      <w:r w:rsidR="009614D9">
        <w:rPr>
          <w:rFonts w:ascii="Garamond" w:hAnsi="Garamond"/>
        </w:rPr>
        <w:t>n molti casi, i</w:t>
      </w:r>
      <w:r>
        <w:rPr>
          <w:rFonts w:ascii="Garamond" w:hAnsi="Garamond"/>
        </w:rPr>
        <w:t xml:space="preserve"> livelli di tassazione risultano essere tanto più alti quanto più bassa è la base imponibile di riferimento e quanto più critica è la situazione finanziaria dei singoli Enti.</w:t>
      </w:r>
      <w:r w:rsidR="00B30F27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In questo modo, </w:t>
      </w:r>
      <w:r w:rsidRPr="003A27F8">
        <w:rPr>
          <w:rFonts w:ascii="Garamond" w:hAnsi="Garamond"/>
        </w:rPr>
        <w:t xml:space="preserve">la tassazione viene spinta verso l’alto proprio nei territori meno sviluppati, </w:t>
      </w:r>
      <w:r>
        <w:rPr>
          <w:rFonts w:ascii="Garamond" w:hAnsi="Garamond"/>
        </w:rPr>
        <w:t>con effetti più che proporzionali sulle capacità di crescita delle aree interessate. Il rischio evidente è di accentuare la frammentazione dei percorsi di sviluppo dei singoli territori, abbassando il potenziale di crescita dell’intera economia.</w:t>
      </w:r>
    </w:p>
    <w:p w:rsidR="009614D9" w:rsidRDefault="009614D9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FA4571" w:rsidRPr="009614D9" w:rsidRDefault="00FA4571" w:rsidP="000D0B16">
      <w:pPr>
        <w:widowControl w:val="0"/>
        <w:tabs>
          <w:tab w:val="left" w:pos="284"/>
        </w:tabs>
        <w:spacing w:line="300" w:lineRule="exact"/>
        <w:jc w:val="center"/>
        <w:rPr>
          <w:rFonts w:ascii="Garamond" w:hAnsi="Garamond"/>
          <w:b/>
          <w:sz w:val="22"/>
          <w:szCs w:val="22"/>
        </w:rPr>
      </w:pPr>
      <w:r w:rsidRPr="009614D9">
        <w:rPr>
          <w:rFonts w:ascii="Garamond" w:hAnsi="Garamond"/>
          <w:b/>
          <w:sz w:val="22"/>
          <w:szCs w:val="22"/>
        </w:rPr>
        <w:t xml:space="preserve">Grafico </w:t>
      </w:r>
      <w:r w:rsidR="00096C34" w:rsidRPr="009614D9">
        <w:rPr>
          <w:rFonts w:ascii="Garamond" w:hAnsi="Garamond"/>
          <w:b/>
          <w:sz w:val="22"/>
          <w:szCs w:val="22"/>
        </w:rPr>
        <w:t>4</w:t>
      </w:r>
      <w:r w:rsidRPr="009614D9">
        <w:rPr>
          <w:rFonts w:ascii="Garamond" w:hAnsi="Garamond"/>
          <w:b/>
          <w:sz w:val="22"/>
          <w:szCs w:val="22"/>
        </w:rPr>
        <w:t xml:space="preserve">. Addizionale regionale IRPEF: </w:t>
      </w:r>
      <w:r w:rsidR="009614D9" w:rsidRPr="009614D9">
        <w:rPr>
          <w:rFonts w:ascii="Garamond" w:hAnsi="Garamond"/>
          <w:b/>
          <w:sz w:val="22"/>
          <w:szCs w:val="22"/>
        </w:rPr>
        <w:t xml:space="preserve">Regioni con </w:t>
      </w:r>
      <w:r w:rsidRPr="009614D9">
        <w:rPr>
          <w:rFonts w:ascii="Garamond" w:hAnsi="Garamond"/>
          <w:b/>
          <w:sz w:val="22"/>
          <w:szCs w:val="22"/>
        </w:rPr>
        <w:t>aliquota</w:t>
      </w:r>
      <w:r w:rsidR="009614D9" w:rsidRPr="009614D9">
        <w:rPr>
          <w:rFonts w:ascii="Garamond" w:hAnsi="Garamond"/>
          <w:b/>
          <w:sz w:val="22"/>
          <w:szCs w:val="22"/>
        </w:rPr>
        <w:t xml:space="preserve"> più </w:t>
      </w:r>
      <w:r w:rsidR="00211D4D">
        <w:rPr>
          <w:rFonts w:ascii="Garamond" w:hAnsi="Garamond"/>
          <w:b/>
          <w:sz w:val="22"/>
          <w:szCs w:val="22"/>
        </w:rPr>
        <w:t>alta e</w:t>
      </w:r>
      <w:r w:rsidR="009614D9" w:rsidRPr="009614D9">
        <w:rPr>
          <w:rFonts w:ascii="Garamond" w:hAnsi="Garamond"/>
          <w:b/>
          <w:sz w:val="22"/>
          <w:szCs w:val="22"/>
        </w:rPr>
        <w:t xml:space="preserve"> più bass</w:t>
      </w:r>
      <w:r w:rsidR="00211D4D">
        <w:rPr>
          <w:rFonts w:ascii="Garamond" w:hAnsi="Garamond"/>
          <w:b/>
          <w:sz w:val="22"/>
          <w:szCs w:val="22"/>
        </w:rPr>
        <w:t>a</w:t>
      </w:r>
    </w:p>
    <w:p w:rsidR="009614D9" w:rsidRDefault="009614D9" w:rsidP="009614D9">
      <w:pPr>
        <w:widowControl w:val="0"/>
        <w:tabs>
          <w:tab w:val="left" w:pos="284"/>
        </w:tabs>
        <w:spacing w:line="360" w:lineRule="auto"/>
        <w:rPr>
          <w:rFonts w:ascii="Garamond" w:hAnsi="Garamond"/>
          <w:i/>
          <w:sz w:val="20"/>
          <w:szCs w:val="20"/>
        </w:rPr>
      </w:pPr>
      <w:r w:rsidRPr="00614D44">
        <w:rPr>
          <w:noProof/>
          <w:lang w:eastAsia="it-IT"/>
        </w:rPr>
        <w:drawing>
          <wp:inline distT="0" distB="0" distL="0" distR="0" wp14:anchorId="5EFD103F" wp14:editId="2D652C69">
            <wp:extent cx="5039360" cy="2735246"/>
            <wp:effectExtent l="19050" t="0" r="8890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7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71" w:rsidRPr="00BB401F" w:rsidRDefault="00FA4571" w:rsidP="009614D9">
      <w:pPr>
        <w:widowControl w:val="0"/>
        <w:tabs>
          <w:tab w:val="left" w:pos="284"/>
        </w:tabs>
        <w:spacing w:line="360" w:lineRule="auto"/>
        <w:ind w:firstLine="142"/>
        <w:rPr>
          <w:rFonts w:ascii="Garamond" w:hAnsi="Garamond"/>
          <w:i/>
          <w:sz w:val="20"/>
          <w:szCs w:val="20"/>
        </w:rPr>
      </w:pPr>
      <w:r w:rsidRPr="00BB401F">
        <w:rPr>
          <w:rFonts w:ascii="Garamond" w:hAnsi="Garamond"/>
          <w:i/>
          <w:sz w:val="20"/>
          <w:szCs w:val="20"/>
        </w:rPr>
        <w:t xml:space="preserve">Fonte: MEF, Dipartimento delle finanze </w:t>
      </w:r>
    </w:p>
    <w:p w:rsidR="00FA4571" w:rsidRPr="00486B66" w:rsidRDefault="00FA4571" w:rsidP="00454969">
      <w:pPr>
        <w:tabs>
          <w:tab w:val="left" w:pos="284"/>
        </w:tabs>
        <w:spacing w:afterLines="60" w:after="144"/>
        <w:ind w:left="284" w:hanging="284"/>
        <w:jc w:val="both"/>
        <w:rPr>
          <w:rFonts w:ascii="Garamond" w:hAnsi="Garamond"/>
          <w:sz w:val="22"/>
          <w:szCs w:val="22"/>
        </w:rPr>
      </w:pPr>
    </w:p>
    <w:p w:rsidR="00FA4571" w:rsidRPr="009614D9" w:rsidRDefault="00FA4571" w:rsidP="00454969">
      <w:pPr>
        <w:widowControl w:val="0"/>
        <w:tabs>
          <w:tab w:val="left" w:pos="284"/>
        </w:tabs>
        <w:spacing w:afterLines="60" w:after="144" w:line="300" w:lineRule="exact"/>
        <w:jc w:val="center"/>
        <w:rPr>
          <w:rFonts w:ascii="Garamond" w:hAnsi="Garamond"/>
          <w:b/>
          <w:sz w:val="22"/>
          <w:szCs w:val="22"/>
        </w:rPr>
      </w:pPr>
      <w:r w:rsidRPr="009614D9">
        <w:rPr>
          <w:rFonts w:ascii="Garamond" w:hAnsi="Garamond"/>
          <w:b/>
          <w:sz w:val="22"/>
          <w:szCs w:val="22"/>
        </w:rPr>
        <w:t xml:space="preserve">Grafico </w:t>
      </w:r>
      <w:r w:rsidR="00096C34" w:rsidRPr="009614D9">
        <w:rPr>
          <w:rFonts w:ascii="Garamond" w:hAnsi="Garamond"/>
          <w:b/>
          <w:sz w:val="22"/>
          <w:szCs w:val="22"/>
        </w:rPr>
        <w:t>5</w:t>
      </w:r>
      <w:r w:rsidRPr="009614D9">
        <w:rPr>
          <w:rFonts w:ascii="Garamond" w:hAnsi="Garamond"/>
          <w:b/>
          <w:sz w:val="22"/>
          <w:szCs w:val="22"/>
        </w:rPr>
        <w:t xml:space="preserve">. IRAP (settore privato): </w:t>
      </w:r>
      <w:r w:rsidR="009614D9" w:rsidRPr="009614D9">
        <w:rPr>
          <w:rFonts w:ascii="Garamond" w:hAnsi="Garamond"/>
          <w:b/>
          <w:sz w:val="22"/>
          <w:szCs w:val="22"/>
        </w:rPr>
        <w:t>Regioni con aliquote più alte e più basse</w:t>
      </w:r>
    </w:p>
    <w:p w:rsidR="009614D9" w:rsidRDefault="009614D9" w:rsidP="009614D9">
      <w:pPr>
        <w:widowControl w:val="0"/>
        <w:tabs>
          <w:tab w:val="left" w:pos="284"/>
        </w:tabs>
        <w:spacing w:afterLines="60" w:after="144" w:line="360" w:lineRule="auto"/>
        <w:rPr>
          <w:rFonts w:ascii="Garamond" w:hAnsi="Garamond"/>
          <w:i/>
          <w:sz w:val="20"/>
          <w:szCs w:val="20"/>
        </w:rPr>
      </w:pPr>
      <w:r w:rsidRPr="00614D44">
        <w:rPr>
          <w:noProof/>
          <w:lang w:eastAsia="it-IT"/>
        </w:rPr>
        <w:drawing>
          <wp:inline distT="0" distB="0" distL="0" distR="0" wp14:anchorId="7556F1B5" wp14:editId="2383920F">
            <wp:extent cx="5039360" cy="2735246"/>
            <wp:effectExtent l="1905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7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71" w:rsidRPr="00BB401F" w:rsidRDefault="00FA4571" w:rsidP="009614D9">
      <w:pPr>
        <w:widowControl w:val="0"/>
        <w:tabs>
          <w:tab w:val="left" w:pos="284"/>
        </w:tabs>
        <w:ind w:firstLine="142"/>
        <w:rPr>
          <w:rFonts w:ascii="Garamond" w:hAnsi="Garamond"/>
          <w:i/>
          <w:sz w:val="20"/>
          <w:szCs w:val="20"/>
        </w:rPr>
      </w:pPr>
      <w:r w:rsidRPr="00BB401F">
        <w:rPr>
          <w:rFonts w:ascii="Garamond" w:hAnsi="Garamond"/>
          <w:i/>
          <w:sz w:val="20"/>
          <w:szCs w:val="20"/>
        </w:rPr>
        <w:t xml:space="preserve">Fonte: MEF, Dipartimento delle finanze </w:t>
      </w:r>
    </w:p>
    <w:p w:rsidR="00454969" w:rsidRDefault="00454969" w:rsidP="009614D9">
      <w:pPr>
        <w:tabs>
          <w:tab w:val="left" w:pos="284"/>
        </w:tabs>
        <w:ind w:left="284" w:hanging="284"/>
        <w:jc w:val="both"/>
        <w:rPr>
          <w:rFonts w:ascii="Garamond" w:hAnsi="Garamond"/>
          <w:sz w:val="22"/>
          <w:szCs w:val="22"/>
        </w:rPr>
      </w:pPr>
    </w:p>
    <w:p w:rsidR="00096C34" w:rsidRDefault="00096C34" w:rsidP="000D0B16">
      <w:pPr>
        <w:tabs>
          <w:tab w:val="left" w:pos="284"/>
        </w:tabs>
        <w:ind w:left="284" w:hanging="284"/>
        <w:jc w:val="both"/>
        <w:rPr>
          <w:rFonts w:ascii="Garamond" w:hAnsi="Garamond"/>
          <w:sz w:val="22"/>
          <w:szCs w:val="22"/>
        </w:rPr>
      </w:pPr>
    </w:p>
    <w:p w:rsidR="00FA4571" w:rsidRDefault="00FA4571" w:rsidP="000D0B16">
      <w:p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La tassazione locale si va caratterizzando inoltre per la crescita, oltre che dei suoi livelli, del suo grado di incertezza. Emblematica è la vicenda della tassazione sui cespiti immobiliari. Il passaggio alla TASI sembra costruito in modo tale da rendere inevitabile un diffuso aumento delle aliquote rispetto al livello standard dell</w:t>
      </w:r>
      <w:r w:rsidR="00CC6AC8">
        <w:rPr>
          <w:rFonts w:ascii="Garamond" w:hAnsi="Garamond"/>
        </w:rPr>
        <w:t>’</w:t>
      </w:r>
      <w:r>
        <w:rPr>
          <w:rFonts w:ascii="Garamond" w:hAnsi="Garamond"/>
        </w:rPr>
        <w:t>1 per mille. Rispetto a un gettito atteso di 3,7 miliardi, emergono fin d’ora fabbisogni finanziari aggiuntivi quantificabili in 1,7 miliardi:</w:t>
      </w:r>
    </w:p>
    <w:p w:rsidR="000D0B16" w:rsidRDefault="000D0B16" w:rsidP="000D0B16">
      <w:pPr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numPr>
          <w:ilvl w:val="0"/>
          <w:numId w:val="4"/>
        </w:num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 xml:space="preserve">1 miliardo è necessario agli oltre 900 comuni (fra cui 55 capoluoghi di provincia) che negli anni passati hanno già portato l’aliquota </w:t>
      </w:r>
      <w:r w:rsidR="00CC6AC8">
        <w:rPr>
          <w:rFonts w:ascii="Garamond" w:hAnsi="Garamond"/>
        </w:rPr>
        <w:t>al</w:t>
      </w:r>
      <w:r>
        <w:rPr>
          <w:rFonts w:ascii="Garamond" w:hAnsi="Garamond"/>
        </w:rPr>
        <w:t xml:space="preserve"> massimo livello consentito del 10,6 per mille e che non hanno quindi capienza neanche per applicare l’aliquota standard TASI;</w:t>
      </w:r>
    </w:p>
    <w:p w:rsidR="00FA4571" w:rsidRDefault="00FA4571" w:rsidP="000D0B16">
      <w:pPr>
        <w:widowControl w:val="0"/>
        <w:numPr>
          <w:ilvl w:val="0"/>
          <w:numId w:val="4"/>
        </w:numPr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 xml:space="preserve">700 milioni sono necessari per ripristinare le detrazioni sulla prima casa vigenti sotto il regime IMU. </w:t>
      </w:r>
    </w:p>
    <w:p w:rsidR="000D0B16" w:rsidRDefault="000D0B16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FA4571" w:rsidRDefault="00FA4571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Sarà inoltre necessario garantire il gettito associato alle maggiorazioni decise da molti comuni sulle aliquote I</w:t>
      </w:r>
      <w:r w:rsidR="009614D9">
        <w:rPr>
          <w:rFonts w:ascii="Garamond" w:hAnsi="Garamond"/>
        </w:rPr>
        <w:t>MU</w:t>
      </w:r>
      <w:r>
        <w:rPr>
          <w:rFonts w:ascii="Garamond" w:hAnsi="Garamond"/>
        </w:rPr>
        <w:t xml:space="preserve"> (il cosiddetto </w:t>
      </w:r>
      <w:r w:rsidR="009614D9">
        <w:rPr>
          <w:rFonts w:ascii="Garamond" w:hAnsi="Garamond"/>
        </w:rPr>
        <w:t>“</w:t>
      </w:r>
      <w:r>
        <w:rPr>
          <w:rFonts w:ascii="Garamond" w:hAnsi="Garamond"/>
        </w:rPr>
        <w:t>sforzo fiscale</w:t>
      </w:r>
      <w:r w:rsidR="009614D9">
        <w:rPr>
          <w:rFonts w:ascii="Garamond" w:hAnsi="Garamond"/>
        </w:rPr>
        <w:t>”</w:t>
      </w:r>
      <w:r>
        <w:rPr>
          <w:rFonts w:ascii="Garamond" w:hAnsi="Garamond"/>
        </w:rPr>
        <w:t>). Sono oltre 250 i comuni che avevano portato l’aliquota IMU sull’abitazione principale al 5</w:t>
      </w:r>
      <w:r w:rsidR="003D63A8">
        <w:rPr>
          <w:rFonts w:ascii="Garamond" w:hAnsi="Garamond"/>
        </w:rPr>
        <w:t>,</w:t>
      </w:r>
      <w:r>
        <w:rPr>
          <w:rFonts w:ascii="Garamond" w:hAnsi="Garamond"/>
        </w:rPr>
        <w:t>3</w:t>
      </w:r>
      <w:r w:rsidR="009614D9">
        <w:rPr>
          <w:rFonts w:ascii="Garamond" w:hAnsi="Garamond"/>
        </w:rPr>
        <w:t xml:space="preserve"> per mille</w:t>
      </w:r>
      <w:r>
        <w:rPr>
          <w:rFonts w:ascii="Garamond" w:hAnsi="Garamond"/>
        </w:rPr>
        <w:t xml:space="preserve"> e che, sotto il regime TASI, non avranno più la leva fiscale sufficiente per reperire le stesse risorse del 2013. Per sopperire a questa esigenza, è stato stanziato un fondo, finanziato con la fiscalità generale, di 625 milioni. Lo stesso </w:t>
      </w:r>
      <w:r w:rsidR="00AA3B76">
        <w:rPr>
          <w:rFonts w:ascii="Garamond" w:hAnsi="Garamond"/>
        </w:rPr>
        <w:t>G</w:t>
      </w:r>
      <w:r>
        <w:rPr>
          <w:rFonts w:ascii="Garamond" w:hAnsi="Garamond"/>
        </w:rPr>
        <w:t>overno stima</w:t>
      </w:r>
      <w:r w:rsidR="00AA3B76">
        <w:rPr>
          <w:rFonts w:ascii="Garamond" w:hAnsi="Garamond"/>
        </w:rPr>
        <w:t>,</w:t>
      </w:r>
      <w:r>
        <w:rPr>
          <w:rFonts w:ascii="Garamond" w:hAnsi="Garamond"/>
        </w:rPr>
        <w:t xml:space="preserve"> tuttavia</w:t>
      </w:r>
      <w:r w:rsidR="00AA3B76">
        <w:rPr>
          <w:rFonts w:ascii="Garamond" w:hAnsi="Garamond"/>
        </w:rPr>
        <w:t>,</w:t>
      </w:r>
      <w:r>
        <w:rPr>
          <w:rFonts w:ascii="Garamond" w:hAnsi="Garamond"/>
        </w:rPr>
        <w:t xml:space="preserve"> che il finanziamento dello </w:t>
      </w:r>
      <w:r w:rsidR="00AA3B76">
        <w:rPr>
          <w:rFonts w:ascii="Garamond" w:hAnsi="Garamond"/>
        </w:rPr>
        <w:t>“</w:t>
      </w:r>
      <w:r>
        <w:rPr>
          <w:rFonts w:ascii="Garamond" w:hAnsi="Garamond"/>
        </w:rPr>
        <w:t>forzo fiscale</w:t>
      </w:r>
      <w:r w:rsidR="00AA3B76">
        <w:rPr>
          <w:rFonts w:ascii="Garamond" w:hAnsi="Garamond"/>
        </w:rPr>
        <w:t>”</w:t>
      </w:r>
      <w:r>
        <w:rPr>
          <w:rFonts w:ascii="Garamond" w:hAnsi="Garamond"/>
        </w:rPr>
        <w:t xml:space="preserve"> dei Comuni potrebbe tuttavia necessitare di 1,1 miliardi. Rischiano di mancare all’appello 475 milioni, per il cui reperimento potrebbero risultare necessari aumenti delle addizionali locali. </w:t>
      </w:r>
    </w:p>
    <w:p w:rsidR="0016719C" w:rsidRDefault="0016719C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16719C" w:rsidRPr="00F252C2" w:rsidRDefault="0016719C" w:rsidP="0016719C">
      <w:pPr>
        <w:jc w:val="both"/>
        <w:rPr>
          <w:rFonts w:ascii="Garamond" w:hAnsi="Garamond"/>
        </w:rPr>
      </w:pPr>
      <w:r w:rsidRPr="00F252C2">
        <w:rPr>
          <w:rFonts w:ascii="Garamond" w:hAnsi="Garamond"/>
        </w:rPr>
        <w:t xml:space="preserve">Per quanto riguarda l’imposizione sull’abitazione principale, tra </w:t>
      </w:r>
      <w:r>
        <w:rPr>
          <w:rFonts w:ascii="Garamond" w:hAnsi="Garamond"/>
        </w:rPr>
        <w:t xml:space="preserve">i </w:t>
      </w:r>
      <w:r w:rsidRPr="00F252C2">
        <w:rPr>
          <w:rFonts w:ascii="Garamond" w:hAnsi="Garamond"/>
        </w:rPr>
        <w:t xml:space="preserve">Comuni </w:t>
      </w:r>
      <w:r w:rsidR="00126CF9" w:rsidRPr="00F252C2">
        <w:rPr>
          <w:rFonts w:ascii="Garamond" w:hAnsi="Garamond"/>
        </w:rPr>
        <w:t xml:space="preserve">capoluoghi di Provincia </w:t>
      </w:r>
      <w:r w:rsidRPr="00F252C2">
        <w:rPr>
          <w:rFonts w:ascii="Garamond" w:hAnsi="Garamond"/>
        </w:rPr>
        <w:t>più virtuosi (quelli c</w:t>
      </w:r>
      <w:r>
        <w:rPr>
          <w:rFonts w:ascii="Garamond" w:hAnsi="Garamond"/>
        </w:rPr>
        <w:t>on un’aliquota non superiore al 4 per mille) si segnalano Bari, Bergamo, Cagliari, Firenze, L’Aquila, Padova, Pescara, Reggio Calabria, Trento, Udine, Venezia.</w:t>
      </w:r>
      <w:r w:rsidR="00126CF9">
        <w:rPr>
          <w:rFonts w:ascii="Garamond" w:hAnsi="Garamond"/>
        </w:rPr>
        <w:t xml:space="preserve"> </w:t>
      </w:r>
      <w:r>
        <w:rPr>
          <w:rFonts w:ascii="Garamond" w:hAnsi="Garamond"/>
        </w:rPr>
        <w:t>Mentre tra i principali comuni con le aliquote maggiori (</w:t>
      </w:r>
      <w:r w:rsidR="00126CF9">
        <w:rPr>
          <w:rFonts w:ascii="Garamond" w:hAnsi="Garamond"/>
        </w:rPr>
        <w:t>dal</w:t>
      </w:r>
      <w:r>
        <w:rPr>
          <w:rFonts w:ascii="Garamond" w:hAnsi="Garamond"/>
        </w:rPr>
        <w:t xml:space="preserve"> 5 per mille e fino a quella massima del 6), figurano: Ancona, Catania, Catanzaro, Genova, Milano, Napoli, Parma, Perugia, Potenza, Torino. </w:t>
      </w:r>
    </w:p>
    <w:p w:rsidR="0016719C" w:rsidRPr="0016719C" w:rsidRDefault="0016719C" w:rsidP="0016719C">
      <w:pPr>
        <w:tabs>
          <w:tab w:val="left" w:pos="284"/>
        </w:tabs>
        <w:jc w:val="both"/>
        <w:rPr>
          <w:rFonts w:ascii="Garamond" w:hAnsi="Garamond"/>
        </w:rPr>
      </w:pPr>
    </w:p>
    <w:p w:rsidR="0016719C" w:rsidRPr="0016719C" w:rsidRDefault="0016719C" w:rsidP="0016719C">
      <w:pPr>
        <w:tabs>
          <w:tab w:val="left" w:pos="284"/>
        </w:tabs>
        <w:jc w:val="both"/>
        <w:rPr>
          <w:rFonts w:ascii="Garamond" w:hAnsi="Garamond"/>
        </w:rPr>
      </w:pPr>
      <w:r w:rsidRPr="0016719C">
        <w:rPr>
          <w:rFonts w:ascii="Garamond" w:hAnsi="Garamond"/>
        </w:rPr>
        <w:t xml:space="preserve">Per quanto riguarda l’aliquota sugli altri immobili, tra cui </w:t>
      </w:r>
      <w:r>
        <w:rPr>
          <w:rFonts w:ascii="Garamond" w:hAnsi="Garamond"/>
        </w:rPr>
        <w:t>quelli</w:t>
      </w:r>
      <w:r w:rsidRPr="0016719C">
        <w:rPr>
          <w:rFonts w:ascii="Garamond" w:hAnsi="Garamond"/>
        </w:rPr>
        <w:t xml:space="preserve"> strumentali delle imprese</w:t>
      </w:r>
      <w:r>
        <w:rPr>
          <w:rFonts w:ascii="Garamond" w:hAnsi="Garamond"/>
        </w:rPr>
        <w:t xml:space="preserve">, Aosta, Belluno, Bolzano, Gorizia, La Spezia, L’Aquila, Olbia e Pordenone sono i principali capoluoghi che applicano il livello più basso (7,6 per mille), mentre nelle maggiori città vige l’aliquota massima (10,6 per mille), tra queste: Ancona, Bari, Bologna, Firenze, Genova, Milano, Napoli, Palermo, Roma, Torino, Trieste, Venezia. </w:t>
      </w:r>
    </w:p>
    <w:p w:rsidR="0016719C" w:rsidRDefault="0016719C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</w:p>
    <w:p w:rsidR="00126CF9" w:rsidRDefault="00126CF9" w:rsidP="000D0B16">
      <w:pPr>
        <w:widowControl w:val="0"/>
        <w:tabs>
          <w:tab w:val="left" w:pos="284"/>
        </w:tabs>
        <w:jc w:val="both"/>
        <w:rPr>
          <w:rFonts w:ascii="Garamond" w:hAnsi="Garamond"/>
        </w:rPr>
      </w:pPr>
      <w:r>
        <w:rPr>
          <w:rFonts w:ascii="Garamond" w:hAnsi="Garamond"/>
        </w:rPr>
        <w:t>Infine, l’addizionale comunale Irpef vede Aosta, Bolzano, Firenze, Gorizia, Mantova, Pescara, Pordenone, Trento, Udine applicare le aliquote minime (da 0 fino allo 0,5</w:t>
      </w:r>
      <w:r w:rsidR="00F17499">
        <w:rPr>
          <w:rFonts w:ascii="Garamond" w:hAnsi="Garamond"/>
        </w:rPr>
        <w:t>%</w:t>
      </w:r>
      <w:r>
        <w:rPr>
          <w:rFonts w:ascii="Garamond" w:hAnsi="Garamond"/>
        </w:rPr>
        <w:t xml:space="preserve">); </w:t>
      </w:r>
      <w:r w:rsidR="00F17499">
        <w:rPr>
          <w:rFonts w:ascii="Garamond" w:hAnsi="Garamond"/>
        </w:rPr>
        <w:t>anche in questo caso, nei maggiori Comuni trovano applicazione le aliquote massime (0,8% e 0,9%): Ancona, Bari, Genova, Milano, Napoli, Palermo, Perugia, Roma, Torino, Venezia.</w:t>
      </w:r>
    </w:p>
    <w:sectPr w:rsidR="00126CF9" w:rsidSect="00D8669D">
      <w:headerReference w:type="default" r:id="rId15"/>
      <w:footerReference w:type="default" r:id="rId16"/>
      <w:pgSz w:w="11906" w:h="16838" w:code="9"/>
      <w:pgMar w:top="1985" w:right="1985" w:bottom="1985" w:left="1985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BF" w:rsidRDefault="00457DBF">
      <w:r>
        <w:separator/>
      </w:r>
    </w:p>
  </w:endnote>
  <w:endnote w:type="continuationSeparator" w:id="0">
    <w:p w:rsidR="00457DBF" w:rsidRDefault="0045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71" w:rsidRDefault="00FA4571" w:rsidP="00D8669D">
    <w:pPr>
      <w:pStyle w:val="Intestazione"/>
      <w:pBdr>
        <w:top w:val="thinThickThinMediumGap" w:sz="24" w:space="1" w:color="993366"/>
      </w:pBdr>
      <w:jc w:val="right"/>
      <w:rPr>
        <w:rStyle w:val="Numeropagina"/>
      </w:rPr>
    </w:pPr>
  </w:p>
  <w:p w:rsidR="00FA4571" w:rsidRDefault="00FA4571" w:rsidP="00D8669D">
    <w:pPr>
      <w:pStyle w:val="Intestazione"/>
      <w:pBdr>
        <w:top w:val="thinThickThinMediumGap" w:sz="24" w:space="1" w:color="993366"/>
      </w:pBdr>
      <w:jc w:val="right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FB3950">
      <w:rPr>
        <w:rStyle w:val="Numeropagina"/>
        <w:noProof/>
      </w:rPr>
      <w:t>6</w:t>
    </w:r>
    <w:r>
      <w:rPr>
        <w:rStyle w:val="Numeropagina"/>
      </w:rPr>
      <w:fldChar w:fldCharType="end"/>
    </w:r>
  </w:p>
  <w:p w:rsidR="00FA4571" w:rsidRDefault="00FA457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BF" w:rsidRDefault="00457DBF">
      <w:r>
        <w:separator/>
      </w:r>
    </w:p>
  </w:footnote>
  <w:footnote w:type="continuationSeparator" w:id="0">
    <w:p w:rsidR="00457DBF" w:rsidRDefault="00457D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571" w:rsidRPr="00720D38" w:rsidRDefault="00FA4571" w:rsidP="00D8669D">
    <w:pPr>
      <w:pStyle w:val="Intestazione"/>
      <w:pBdr>
        <w:top w:val="thinThickThinMediumGap" w:sz="24" w:space="1" w:color="993366"/>
      </w:pBdr>
      <w:rPr>
        <w:rFonts w:ascii="Garamond" w:hAnsi="Garamond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0566"/>
    <w:multiLevelType w:val="hybridMultilevel"/>
    <w:tmpl w:val="81C6F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20577"/>
    <w:multiLevelType w:val="hybridMultilevel"/>
    <w:tmpl w:val="C2E66D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05DC2"/>
    <w:multiLevelType w:val="hybridMultilevel"/>
    <w:tmpl w:val="45FC3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03BF6"/>
    <w:multiLevelType w:val="hybridMultilevel"/>
    <w:tmpl w:val="024A3A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4615F8"/>
    <w:multiLevelType w:val="hybridMultilevel"/>
    <w:tmpl w:val="04965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C6"/>
    <w:rsid w:val="000334B5"/>
    <w:rsid w:val="0004550F"/>
    <w:rsid w:val="00063288"/>
    <w:rsid w:val="00096C34"/>
    <w:rsid w:val="000D0B16"/>
    <w:rsid w:val="000E206F"/>
    <w:rsid w:val="000F3D05"/>
    <w:rsid w:val="00114C60"/>
    <w:rsid w:val="00126CF9"/>
    <w:rsid w:val="0016719C"/>
    <w:rsid w:val="001757AA"/>
    <w:rsid w:val="0017581F"/>
    <w:rsid w:val="00183B44"/>
    <w:rsid w:val="001A34A4"/>
    <w:rsid w:val="001A63CB"/>
    <w:rsid w:val="001E143D"/>
    <w:rsid w:val="00205091"/>
    <w:rsid w:val="00211D4D"/>
    <w:rsid w:val="0023756A"/>
    <w:rsid w:val="0027193D"/>
    <w:rsid w:val="00295AFA"/>
    <w:rsid w:val="002B4181"/>
    <w:rsid w:val="002C48BB"/>
    <w:rsid w:val="00304B7D"/>
    <w:rsid w:val="003301FB"/>
    <w:rsid w:val="00363DF1"/>
    <w:rsid w:val="003A27F8"/>
    <w:rsid w:val="003C06C6"/>
    <w:rsid w:val="003D2C05"/>
    <w:rsid w:val="003D61D5"/>
    <w:rsid w:val="003D63A8"/>
    <w:rsid w:val="00400987"/>
    <w:rsid w:val="00454969"/>
    <w:rsid w:val="00457DBF"/>
    <w:rsid w:val="004607C4"/>
    <w:rsid w:val="0048124D"/>
    <w:rsid w:val="00486B66"/>
    <w:rsid w:val="004A53CF"/>
    <w:rsid w:val="004B15D1"/>
    <w:rsid w:val="004B50DC"/>
    <w:rsid w:val="004E6788"/>
    <w:rsid w:val="004F7EC6"/>
    <w:rsid w:val="00546858"/>
    <w:rsid w:val="00567A77"/>
    <w:rsid w:val="005D7C2F"/>
    <w:rsid w:val="005E08BF"/>
    <w:rsid w:val="00633108"/>
    <w:rsid w:val="00640051"/>
    <w:rsid w:val="00654FDB"/>
    <w:rsid w:val="0068443E"/>
    <w:rsid w:val="00693F4D"/>
    <w:rsid w:val="006A2690"/>
    <w:rsid w:val="006A6982"/>
    <w:rsid w:val="006B1918"/>
    <w:rsid w:val="006F429A"/>
    <w:rsid w:val="0070786E"/>
    <w:rsid w:val="00720D38"/>
    <w:rsid w:val="00743F06"/>
    <w:rsid w:val="00756118"/>
    <w:rsid w:val="00771509"/>
    <w:rsid w:val="00787B02"/>
    <w:rsid w:val="00790E8C"/>
    <w:rsid w:val="00793D17"/>
    <w:rsid w:val="007A4414"/>
    <w:rsid w:val="00803C19"/>
    <w:rsid w:val="008153F3"/>
    <w:rsid w:val="0083745E"/>
    <w:rsid w:val="008435DE"/>
    <w:rsid w:val="0086147D"/>
    <w:rsid w:val="00875475"/>
    <w:rsid w:val="00883EB0"/>
    <w:rsid w:val="008C206F"/>
    <w:rsid w:val="008F2CC0"/>
    <w:rsid w:val="00901AFC"/>
    <w:rsid w:val="00912DD2"/>
    <w:rsid w:val="00920C53"/>
    <w:rsid w:val="009614D9"/>
    <w:rsid w:val="009655FF"/>
    <w:rsid w:val="00976CBB"/>
    <w:rsid w:val="00986D3A"/>
    <w:rsid w:val="009A0D03"/>
    <w:rsid w:val="009A5A57"/>
    <w:rsid w:val="009B2AD1"/>
    <w:rsid w:val="009C05C2"/>
    <w:rsid w:val="009C61B0"/>
    <w:rsid w:val="009F7A17"/>
    <w:rsid w:val="00A00A95"/>
    <w:rsid w:val="00A01AC0"/>
    <w:rsid w:val="00A02AF4"/>
    <w:rsid w:val="00A11B6C"/>
    <w:rsid w:val="00A14744"/>
    <w:rsid w:val="00A21F74"/>
    <w:rsid w:val="00A46C68"/>
    <w:rsid w:val="00A82331"/>
    <w:rsid w:val="00AA3B76"/>
    <w:rsid w:val="00AB2595"/>
    <w:rsid w:val="00AD79CB"/>
    <w:rsid w:val="00AE6343"/>
    <w:rsid w:val="00B30F27"/>
    <w:rsid w:val="00B36A03"/>
    <w:rsid w:val="00B40319"/>
    <w:rsid w:val="00BB401F"/>
    <w:rsid w:val="00BC26CF"/>
    <w:rsid w:val="00C13CA7"/>
    <w:rsid w:val="00C341C8"/>
    <w:rsid w:val="00C57F08"/>
    <w:rsid w:val="00C87E95"/>
    <w:rsid w:val="00CC6AC8"/>
    <w:rsid w:val="00D0104D"/>
    <w:rsid w:val="00D60052"/>
    <w:rsid w:val="00D6767A"/>
    <w:rsid w:val="00D8669D"/>
    <w:rsid w:val="00D9279D"/>
    <w:rsid w:val="00DA2F72"/>
    <w:rsid w:val="00DB068B"/>
    <w:rsid w:val="00DC7946"/>
    <w:rsid w:val="00DE2CEB"/>
    <w:rsid w:val="00E939F6"/>
    <w:rsid w:val="00EA3C30"/>
    <w:rsid w:val="00EF3C0F"/>
    <w:rsid w:val="00F07615"/>
    <w:rsid w:val="00F07DCB"/>
    <w:rsid w:val="00F17077"/>
    <w:rsid w:val="00F17499"/>
    <w:rsid w:val="00F252C2"/>
    <w:rsid w:val="00FA4571"/>
    <w:rsid w:val="00FB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3C19"/>
    <w:rPr>
      <w:rFonts w:ascii="Times New Roman" w:eastAsia="SimSun" w:hAnsi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B50D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B50D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03C1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03C1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rsid w:val="00D866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56118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arattereCarattere2">
    <w:name w:val="Carattere Carattere2"/>
    <w:uiPriority w:val="99"/>
    <w:rsid w:val="00D8669D"/>
    <w:rPr>
      <w:rFonts w:eastAsia="SimSun"/>
      <w:sz w:val="24"/>
      <w:lang w:val="it-IT" w:eastAsia="zh-CN"/>
    </w:rPr>
  </w:style>
  <w:style w:type="character" w:styleId="Numeropagina">
    <w:name w:val="page number"/>
    <w:basedOn w:val="Carpredefinitoparagrafo"/>
    <w:uiPriority w:val="99"/>
    <w:rsid w:val="00D8669D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654F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3C19"/>
    <w:rPr>
      <w:rFonts w:ascii="Times New Roman" w:eastAsia="SimSun" w:hAnsi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B50D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B50D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03C1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03C1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dipagina">
    <w:name w:val="footer"/>
    <w:basedOn w:val="Normale"/>
    <w:link w:val="PidipaginaCarattere"/>
    <w:uiPriority w:val="99"/>
    <w:rsid w:val="00D866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56118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CarattereCarattere2">
    <w:name w:val="Carattere Carattere2"/>
    <w:uiPriority w:val="99"/>
    <w:rsid w:val="00D8669D"/>
    <w:rPr>
      <w:rFonts w:eastAsia="SimSun"/>
      <w:sz w:val="24"/>
      <w:lang w:val="it-IT" w:eastAsia="zh-CN"/>
    </w:rPr>
  </w:style>
  <w:style w:type="character" w:styleId="Numeropagina">
    <w:name w:val="page number"/>
    <w:basedOn w:val="Carpredefinitoparagrafo"/>
    <w:uiPriority w:val="99"/>
    <w:rsid w:val="00D8669D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654F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1920EC-CABB-40AE-81B1-2B94143E3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moretti</cp:lastModifiedBy>
  <cp:revision>4</cp:revision>
  <cp:lastPrinted>2014-03-19T09:40:00Z</cp:lastPrinted>
  <dcterms:created xsi:type="dcterms:W3CDTF">2014-03-19T10:22:00Z</dcterms:created>
  <dcterms:modified xsi:type="dcterms:W3CDTF">2014-03-20T08:59:00Z</dcterms:modified>
</cp:coreProperties>
</file>