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62" w:rsidRDefault="00EE766C" w:rsidP="00EE766C">
      <w:pPr>
        <w:tabs>
          <w:tab w:val="left" w:pos="3420"/>
        </w:tabs>
        <w:suppressAutoHyphens/>
        <w:rPr>
          <w:rFonts w:ascii="Calibri" w:hAnsi="Calibri" w:cs="Calibri"/>
          <w:color w:val="1F497D"/>
          <w:sz w:val="28"/>
          <w:szCs w:val="28"/>
        </w:rPr>
      </w:pPr>
      <w:bookmarkStart w:id="0" w:name="_GoBack"/>
      <w:bookmarkEnd w:id="0"/>
      <w:r>
        <w:rPr>
          <w:rFonts w:ascii="Calibri" w:hAnsi="Calibri" w:cs="Calibri"/>
          <w:color w:val="1F497D"/>
          <w:sz w:val="28"/>
          <w:szCs w:val="28"/>
        </w:rPr>
        <w:tab/>
      </w: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w:drawing>
          <wp:anchor distT="0" distB="0" distL="114300" distR="114300" simplePos="0" relativeHeight="251658240" behindDoc="0" locked="0" layoutInCell="1" allowOverlap="1">
            <wp:simplePos x="0" y="0"/>
            <wp:positionH relativeFrom="column">
              <wp:posOffset>-70485</wp:posOffset>
            </wp:positionH>
            <wp:positionV relativeFrom="paragraph">
              <wp:posOffset>11430</wp:posOffset>
            </wp:positionV>
            <wp:extent cx="6332220" cy="2147570"/>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2147570"/>
                    </a:xfrm>
                    <a:prstGeom prst="rect">
                      <a:avLst/>
                    </a:prstGeom>
                    <a:noFill/>
                    <a:ln>
                      <a:noFill/>
                    </a:ln>
                  </pic:spPr>
                </pic:pic>
              </a:graphicData>
            </a:graphic>
          </wp:anchor>
        </w:drawing>
      </w:r>
    </w:p>
    <w:p w:rsidR="002D3762" w:rsidRDefault="007351F6"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191135</wp:posOffset>
                </wp:positionV>
                <wp:extent cx="6010910" cy="1304925"/>
                <wp:effectExtent l="0" t="0" r="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270" w:rsidRPr="002D3762" w:rsidRDefault="003D3270" w:rsidP="00575691">
                            <w:pPr>
                              <w:jc w:val="right"/>
                              <w:rPr>
                                <w:rFonts w:ascii="Calibri" w:hAnsi="Calibri" w:cs="Calibri"/>
                                <w:iCs/>
                                <w:color w:val="FFFFFF"/>
                                <w:sz w:val="36"/>
                                <w:szCs w:val="36"/>
                              </w:rPr>
                            </w:pPr>
                            <w:r w:rsidRPr="002D3762">
                              <w:rPr>
                                <w:rFonts w:ascii="Calibri" w:hAnsi="Calibri" w:cs="Calibri"/>
                                <w:iCs/>
                                <w:color w:val="FFFFFF"/>
                                <w:sz w:val="36"/>
                                <w:szCs w:val="36"/>
                              </w:rPr>
                              <w:t>OSSERVATORIO NAZIONALE IMMOBILIARE TURISTICO 201</w:t>
                            </w:r>
                            <w:r>
                              <w:rPr>
                                <w:rFonts w:ascii="Calibri" w:hAnsi="Calibri" w:cs="Calibri"/>
                                <w:iCs/>
                                <w:color w:val="FFFFFF"/>
                                <w:sz w:val="36"/>
                                <w:szCs w:val="36"/>
                              </w:rPr>
                              <w:t>5</w:t>
                            </w:r>
                          </w:p>
                          <w:p w:rsidR="003D3270" w:rsidRPr="002D3762" w:rsidRDefault="003D3270" w:rsidP="00575691">
                            <w:pPr>
                              <w:jc w:val="right"/>
                              <w:rPr>
                                <w:rFonts w:ascii="Calibri" w:hAnsi="Calibri" w:cs="Calibri"/>
                                <w:iCs/>
                                <w:color w:val="FFFFFF"/>
                                <w:sz w:val="36"/>
                                <w:szCs w:val="36"/>
                              </w:rPr>
                            </w:pPr>
                          </w:p>
                          <w:p w:rsidR="003D3270" w:rsidRPr="002D3762" w:rsidRDefault="003D3270" w:rsidP="00575691">
                            <w:pPr>
                              <w:jc w:val="right"/>
                              <w:rPr>
                                <w:rFonts w:ascii="Calibri" w:hAnsi="Calibri" w:cs="Calibri"/>
                                <w:i/>
                                <w:color w:val="FFFFFF"/>
                                <w:sz w:val="36"/>
                                <w:szCs w:val="36"/>
                              </w:rPr>
                            </w:pPr>
                            <w:r w:rsidRPr="002D3762">
                              <w:rPr>
                                <w:rFonts w:ascii="Calibri" w:hAnsi="Calibri" w:cs="Calibri"/>
                                <w:iCs/>
                                <w:color w:val="FFFFFF"/>
                                <w:sz w:val="36"/>
                                <w:szCs w:val="36"/>
                              </w:rPr>
                              <w:t xml:space="preserve">SUL MERCATO DELLE CASE PER VACANZA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3" o:spid="_x0000_s1026" type="#_x0000_t202" style="position:absolute;left:0;text-align:left;margin-left:7.8pt;margin-top:15.05pt;width:473.3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" filled="f" stroked="f">
                <v:textbox>
                  <w:txbxContent>
                    <w:p w:rsidR="003D3270" w:rsidRPr="002D3762" w:rsidRDefault="003D3270" w:rsidP="00575691">
                      <w:pPr>
                        <w:jc w:val="right"/>
                        <w:rPr>
                          <w:rFonts w:ascii="Calibri" w:hAnsi="Calibri" w:cs="Calibri"/>
                          <w:iCs/>
                          <w:color w:val="FFFFFF"/>
                          <w:sz w:val="36"/>
                          <w:szCs w:val="36"/>
                        </w:rPr>
                      </w:pPr>
                      <w:r w:rsidRPr="002D3762">
                        <w:rPr>
                          <w:rFonts w:ascii="Calibri" w:hAnsi="Calibri" w:cs="Calibri"/>
                          <w:iCs/>
                          <w:color w:val="FFFFFF"/>
                          <w:sz w:val="36"/>
                          <w:szCs w:val="36"/>
                        </w:rPr>
                        <w:t>OSSERVATORIO NAZIONALE IMMOBILIARE TURISTICO 201</w:t>
                      </w:r>
                      <w:r>
                        <w:rPr>
                          <w:rFonts w:ascii="Calibri" w:hAnsi="Calibri" w:cs="Calibri"/>
                          <w:iCs/>
                          <w:color w:val="FFFFFF"/>
                          <w:sz w:val="36"/>
                          <w:szCs w:val="36"/>
                        </w:rPr>
                        <w:t>5</w:t>
                      </w:r>
                    </w:p>
                    <w:p w:rsidR="003D3270" w:rsidRPr="002D3762" w:rsidRDefault="003D3270" w:rsidP="00575691">
                      <w:pPr>
                        <w:jc w:val="right"/>
                        <w:rPr>
                          <w:rFonts w:ascii="Calibri" w:hAnsi="Calibri" w:cs="Calibri"/>
                          <w:iCs/>
                          <w:color w:val="FFFFFF"/>
                          <w:sz w:val="36"/>
                          <w:szCs w:val="36"/>
                        </w:rPr>
                      </w:pPr>
                    </w:p>
                    <w:p w:rsidR="003D3270" w:rsidRPr="002D3762" w:rsidRDefault="003D3270" w:rsidP="00575691">
                      <w:pPr>
                        <w:jc w:val="right"/>
                        <w:rPr>
                          <w:rFonts w:ascii="Calibri" w:hAnsi="Calibri" w:cs="Calibri"/>
                          <w:i/>
                          <w:color w:val="FFFFFF"/>
                          <w:sz w:val="36"/>
                          <w:szCs w:val="36"/>
                        </w:rPr>
                      </w:pPr>
                      <w:r w:rsidRPr="002D3762">
                        <w:rPr>
                          <w:rFonts w:ascii="Calibri" w:hAnsi="Calibri" w:cs="Calibri"/>
                          <w:iCs/>
                          <w:color w:val="FFFFFF"/>
                          <w:sz w:val="36"/>
                          <w:szCs w:val="36"/>
                        </w:rPr>
                        <w:t xml:space="preserve">SUL MERCATO DELLE CASE PER VACANZA </w:t>
                      </w:r>
                    </w:p>
                  </w:txbxContent>
                </v:textbox>
              </v:shape>
            </w:pict>
          </mc:Fallback>
        </mc:AlternateContent>
      </w: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D859D7" w:rsidRPr="00D859D7" w:rsidRDefault="00D859D7" w:rsidP="00D859D7">
      <w:pPr>
        <w:tabs>
          <w:tab w:val="left" w:pos="357"/>
        </w:tabs>
        <w:suppressAutoHyphens/>
        <w:jc w:val="center"/>
        <w:rPr>
          <w:rFonts w:ascii="Calibri" w:hAnsi="Calibri" w:cs="Calibri"/>
          <w:b/>
          <w:color w:val="1F497D"/>
          <w:sz w:val="28"/>
          <w:szCs w:val="28"/>
          <w:u w:val="single"/>
        </w:rPr>
      </w:pPr>
      <w:r w:rsidRPr="00D859D7">
        <w:rPr>
          <w:rFonts w:ascii="Calibri" w:hAnsi="Calibri" w:cs="Calibri"/>
          <w:b/>
          <w:color w:val="1F497D"/>
          <w:sz w:val="28"/>
          <w:szCs w:val="28"/>
          <w:u w:val="single"/>
        </w:rPr>
        <w:t>SINTESI PER LA STAMPA</w:t>
      </w:r>
    </w:p>
    <w:p w:rsidR="002D3762" w:rsidRDefault="002D3762" w:rsidP="002D3762">
      <w:pPr>
        <w:tabs>
          <w:tab w:val="left" w:pos="357"/>
        </w:tabs>
        <w:suppressAutoHyphens/>
        <w:jc w:val="center"/>
        <w:rPr>
          <w:rFonts w:ascii="Calibri" w:hAnsi="Calibri" w:cs="Calibri"/>
          <w:color w:val="1F497D"/>
          <w:sz w:val="28"/>
          <w:szCs w:val="28"/>
        </w:rPr>
      </w:pPr>
    </w:p>
    <w:p w:rsidR="002D3762" w:rsidRDefault="002D3762" w:rsidP="002D3762">
      <w:pPr>
        <w:tabs>
          <w:tab w:val="left" w:pos="357"/>
        </w:tabs>
        <w:suppressAutoHyphens/>
        <w:jc w:val="center"/>
        <w:rPr>
          <w:rFonts w:ascii="Calibri" w:hAnsi="Calibri" w:cs="Calibri"/>
          <w:color w:val="1F497D"/>
          <w:sz w:val="28"/>
          <w:szCs w:val="28"/>
        </w:rPr>
      </w:pPr>
    </w:p>
    <w:p w:rsidR="00D859D7" w:rsidRDefault="00D859D7" w:rsidP="002D3762">
      <w:pPr>
        <w:tabs>
          <w:tab w:val="left" w:pos="357"/>
        </w:tabs>
        <w:suppressAutoHyphens/>
        <w:jc w:val="center"/>
        <w:rPr>
          <w:rFonts w:ascii="Calibri" w:hAnsi="Calibri" w:cs="Calibri"/>
          <w:color w:val="1F497D"/>
          <w:sz w:val="28"/>
          <w:szCs w:val="28"/>
        </w:rPr>
      </w:pPr>
    </w:p>
    <w:p w:rsidR="00D859D7" w:rsidRDefault="00D859D7" w:rsidP="002D3762">
      <w:pPr>
        <w:tabs>
          <w:tab w:val="left" w:pos="357"/>
        </w:tabs>
        <w:suppressAutoHyphens/>
        <w:jc w:val="center"/>
        <w:rPr>
          <w:rFonts w:ascii="Calibri" w:hAnsi="Calibri" w:cs="Calibri"/>
          <w:color w:val="1F497D"/>
          <w:sz w:val="28"/>
          <w:szCs w:val="28"/>
        </w:rPr>
      </w:pPr>
    </w:p>
    <w:p w:rsidR="006E2E9E" w:rsidRDefault="00D859D7" w:rsidP="002D3762">
      <w:pPr>
        <w:tabs>
          <w:tab w:val="left" w:pos="357"/>
        </w:tabs>
        <w:suppressAutoHyphens/>
        <w:jc w:val="center"/>
        <w:rPr>
          <w:rFonts w:ascii="Calibri" w:hAnsi="Calibri" w:cs="Calibri"/>
          <w:color w:val="1F497D"/>
          <w:sz w:val="28"/>
          <w:szCs w:val="28"/>
        </w:rPr>
      </w:pPr>
      <w:r>
        <w:rPr>
          <w:rFonts w:ascii="Calibri" w:hAnsi="Calibri" w:cs="Calibri"/>
          <w:color w:val="1F497D"/>
          <w:sz w:val="28"/>
          <w:szCs w:val="28"/>
        </w:rPr>
        <w:t>Roma, 2</w:t>
      </w:r>
      <w:r w:rsidR="008B4566">
        <w:rPr>
          <w:rFonts w:ascii="Calibri" w:hAnsi="Calibri" w:cs="Calibri"/>
          <w:color w:val="1F497D"/>
          <w:sz w:val="28"/>
          <w:szCs w:val="28"/>
        </w:rPr>
        <w:t>9</w:t>
      </w:r>
      <w:r>
        <w:rPr>
          <w:rFonts w:ascii="Calibri" w:hAnsi="Calibri" w:cs="Calibri"/>
          <w:color w:val="1F497D"/>
          <w:sz w:val="28"/>
          <w:szCs w:val="28"/>
        </w:rPr>
        <w:t xml:space="preserve"> luglio</w:t>
      </w:r>
      <w:r w:rsidR="003B5CE0">
        <w:rPr>
          <w:rFonts w:ascii="Calibri" w:hAnsi="Calibri" w:cs="Calibri"/>
          <w:color w:val="1F497D"/>
          <w:sz w:val="28"/>
          <w:szCs w:val="28"/>
        </w:rPr>
        <w:t xml:space="preserve"> 2015</w:t>
      </w:r>
    </w:p>
    <w:p w:rsidR="008A4E21" w:rsidRDefault="008A4E21" w:rsidP="002D3762">
      <w:pPr>
        <w:tabs>
          <w:tab w:val="left" w:pos="357"/>
        </w:tabs>
        <w:suppressAutoHyphens/>
        <w:jc w:val="center"/>
        <w:rPr>
          <w:rFonts w:ascii="Calibri" w:hAnsi="Calibri" w:cs="Calibri"/>
          <w:color w:val="1F497D"/>
          <w:sz w:val="28"/>
          <w:szCs w:val="28"/>
        </w:rPr>
      </w:pPr>
    </w:p>
    <w:p w:rsidR="008A4E21" w:rsidRDefault="008A4E21" w:rsidP="002D3762">
      <w:pPr>
        <w:tabs>
          <w:tab w:val="left" w:pos="357"/>
        </w:tabs>
        <w:suppressAutoHyphens/>
        <w:jc w:val="center"/>
        <w:rPr>
          <w:rFonts w:ascii="Calibri" w:hAnsi="Calibri" w:cs="Calibri"/>
          <w:color w:val="1F497D"/>
          <w:sz w:val="28"/>
          <w:szCs w:val="28"/>
        </w:rPr>
      </w:pPr>
    </w:p>
    <w:p w:rsidR="008A4E21" w:rsidRDefault="008A4E21" w:rsidP="002D3762">
      <w:pPr>
        <w:tabs>
          <w:tab w:val="left" w:pos="357"/>
        </w:tabs>
        <w:suppressAutoHyphens/>
        <w:jc w:val="center"/>
        <w:rPr>
          <w:rFonts w:asciiTheme="minorHAnsi" w:hAnsiTheme="minorHAnsi"/>
          <w:b/>
          <w:sz w:val="28"/>
          <w:szCs w:val="28"/>
        </w:rPr>
      </w:pPr>
    </w:p>
    <w:p w:rsidR="006E2E9E" w:rsidRDefault="006E2E9E" w:rsidP="00AE50F2">
      <w:pPr>
        <w:tabs>
          <w:tab w:val="left" w:pos="357"/>
        </w:tabs>
        <w:suppressAutoHyphens/>
        <w:rPr>
          <w:rFonts w:asciiTheme="minorHAnsi" w:hAnsiTheme="minorHAnsi"/>
          <w:b/>
          <w:sz w:val="28"/>
          <w:szCs w:val="28"/>
        </w:rPr>
      </w:pPr>
    </w:p>
    <w:p w:rsidR="002D3762" w:rsidRPr="00CC2E4C" w:rsidRDefault="00AF3CF5" w:rsidP="008A4E21">
      <w:pPr>
        <w:jc w:val="center"/>
        <w:rPr>
          <w:rFonts w:ascii="Calibri" w:hAnsi="Calibri" w:cs="Calibri"/>
          <w:color w:val="1F497D"/>
          <w:sz w:val="28"/>
          <w:szCs w:val="28"/>
        </w:rPr>
      </w:pPr>
      <w:r>
        <w:rPr>
          <w:rFonts w:ascii="Calibri" w:hAnsi="Calibri" w:cs="Calibri"/>
          <w:noProof/>
          <w:color w:val="1F497D"/>
          <w:sz w:val="28"/>
          <w:szCs w:val="28"/>
        </w:rPr>
        <w:drawing>
          <wp:inline distT="0" distB="0" distL="0" distR="0">
            <wp:extent cx="1980000" cy="933051"/>
            <wp:effectExtent l="0" t="0" r="1270" b="63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COMMERCI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933051"/>
                    </a:xfrm>
                    <a:prstGeom prst="rect">
                      <a:avLst/>
                    </a:prstGeom>
                  </pic:spPr>
                </pic:pic>
              </a:graphicData>
            </a:graphic>
          </wp:inline>
        </w:drawing>
      </w:r>
      <w:r w:rsidR="00575691">
        <w:rPr>
          <w:rFonts w:asciiTheme="minorHAnsi" w:hAnsiTheme="minorHAnsi"/>
          <w:b/>
          <w:sz w:val="28"/>
          <w:szCs w:val="28"/>
        </w:rPr>
        <w:br w:type="page"/>
      </w:r>
    </w:p>
    <w:p w:rsidR="007A64EE" w:rsidRDefault="007A64EE" w:rsidP="006A0BF2">
      <w:pPr>
        <w:spacing w:after="200" w:line="276" w:lineRule="auto"/>
        <w:rPr>
          <w:rFonts w:asciiTheme="minorHAnsi" w:eastAsia="Calibri" w:hAnsiTheme="minorHAnsi" w:cstheme="minorHAnsi"/>
          <w:szCs w:val="24"/>
        </w:rPr>
      </w:pPr>
    </w:p>
    <w:p w:rsidR="00D859D7" w:rsidRDefault="00D859D7" w:rsidP="006A0BF2">
      <w:pPr>
        <w:spacing w:after="200" w:line="276" w:lineRule="auto"/>
        <w:rPr>
          <w:rFonts w:asciiTheme="minorHAnsi" w:eastAsia="Calibri" w:hAnsiTheme="minorHAnsi" w:cstheme="minorHAnsi"/>
          <w:szCs w:val="24"/>
        </w:rPr>
      </w:pPr>
    </w:p>
    <w:p w:rsidR="006A0BF2" w:rsidRPr="003D3270" w:rsidRDefault="007A64EE" w:rsidP="006A0BF2">
      <w:pPr>
        <w:spacing w:after="200" w:line="276" w:lineRule="auto"/>
        <w:rPr>
          <w:rFonts w:asciiTheme="minorHAnsi" w:eastAsia="Calibri" w:hAnsiTheme="minorHAnsi" w:cstheme="minorHAnsi"/>
          <w:szCs w:val="24"/>
        </w:rPr>
      </w:pPr>
      <w:r w:rsidRPr="003D3270">
        <w:rPr>
          <w:rFonts w:asciiTheme="minorHAnsi" w:eastAsia="Calibri" w:hAnsiTheme="minorHAnsi" w:cstheme="minorHAnsi"/>
          <w:szCs w:val="24"/>
        </w:rPr>
        <w:t>L’Osservatorio Nazionale Immobiliare Turistico 201</w:t>
      </w:r>
      <w:r w:rsidR="00AF3CF5" w:rsidRPr="003D3270">
        <w:rPr>
          <w:rFonts w:asciiTheme="minorHAnsi" w:eastAsia="Calibri" w:hAnsiTheme="minorHAnsi" w:cstheme="minorHAnsi"/>
          <w:szCs w:val="24"/>
        </w:rPr>
        <w:t>5</w:t>
      </w:r>
      <w:r w:rsidRPr="003D3270">
        <w:rPr>
          <w:rFonts w:asciiTheme="minorHAnsi" w:eastAsia="Calibri" w:hAnsiTheme="minorHAnsi" w:cstheme="minorHAnsi"/>
          <w:szCs w:val="24"/>
        </w:rPr>
        <w:t xml:space="preserve"> di FIMAA-Confcommercio (Federazione Italiana Mediatori Agenti d’Affari) con la collaborazione della Società di Studi Economici NOMISMA ha</w:t>
      </w:r>
      <w:r w:rsidR="006A0BF2" w:rsidRPr="003D3270">
        <w:rPr>
          <w:rFonts w:asciiTheme="minorHAnsi" w:eastAsia="Calibri" w:hAnsiTheme="minorHAnsi" w:cstheme="minorHAnsi"/>
          <w:szCs w:val="24"/>
        </w:rPr>
        <w:t xml:space="preserve"> </w:t>
      </w:r>
      <w:r w:rsidRPr="003D3270">
        <w:rPr>
          <w:rFonts w:asciiTheme="minorHAnsi" w:eastAsia="Calibri" w:hAnsiTheme="minorHAnsi" w:cstheme="minorHAnsi"/>
          <w:szCs w:val="24"/>
        </w:rPr>
        <w:t>“</w:t>
      </w:r>
      <w:r w:rsidR="006A0BF2" w:rsidRPr="003D3270">
        <w:rPr>
          <w:rFonts w:asciiTheme="minorHAnsi" w:eastAsia="Calibri" w:hAnsiTheme="minorHAnsi" w:cstheme="minorHAnsi"/>
          <w:szCs w:val="24"/>
        </w:rPr>
        <w:t>fotogra</w:t>
      </w:r>
      <w:r w:rsidRPr="003D3270">
        <w:rPr>
          <w:rFonts w:asciiTheme="minorHAnsi" w:eastAsia="Calibri" w:hAnsiTheme="minorHAnsi" w:cstheme="minorHAnsi"/>
          <w:szCs w:val="24"/>
        </w:rPr>
        <w:t>f</w:t>
      </w:r>
      <w:r w:rsidR="006A0BF2" w:rsidRPr="003D3270">
        <w:rPr>
          <w:rFonts w:asciiTheme="minorHAnsi" w:eastAsia="Calibri" w:hAnsiTheme="minorHAnsi" w:cstheme="minorHAnsi"/>
          <w:szCs w:val="24"/>
        </w:rPr>
        <w:t>a</w:t>
      </w:r>
      <w:r w:rsidRPr="003D3270">
        <w:rPr>
          <w:rFonts w:asciiTheme="minorHAnsi" w:eastAsia="Calibri" w:hAnsiTheme="minorHAnsi" w:cstheme="minorHAnsi"/>
          <w:szCs w:val="24"/>
        </w:rPr>
        <w:t>to”</w:t>
      </w:r>
      <w:r w:rsidR="006A0BF2" w:rsidRPr="003D3270">
        <w:rPr>
          <w:rFonts w:asciiTheme="minorHAnsi" w:eastAsia="Calibri" w:hAnsiTheme="minorHAnsi" w:cstheme="minorHAnsi"/>
          <w:szCs w:val="24"/>
        </w:rPr>
        <w:t xml:space="preserve"> </w:t>
      </w:r>
      <w:r w:rsidR="00864A95" w:rsidRPr="003D3270">
        <w:rPr>
          <w:rFonts w:asciiTheme="minorHAnsi" w:eastAsia="Calibri" w:hAnsiTheme="minorHAnsi" w:cstheme="minorHAnsi"/>
          <w:szCs w:val="24"/>
        </w:rPr>
        <w:t>l’andamento del</w:t>
      </w:r>
      <w:r w:rsidR="006A0BF2" w:rsidRPr="003D3270">
        <w:rPr>
          <w:rFonts w:asciiTheme="minorHAnsi" w:eastAsia="Calibri" w:hAnsiTheme="minorHAnsi" w:cstheme="minorHAnsi"/>
          <w:szCs w:val="24"/>
        </w:rPr>
        <w:t xml:space="preserve"> m</w:t>
      </w:r>
      <w:r w:rsidR="009C78FC" w:rsidRPr="003D3270">
        <w:rPr>
          <w:rFonts w:asciiTheme="minorHAnsi" w:eastAsia="Calibri" w:hAnsiTheme="minorHAnsi" w:cstheme="minorHAnsi"/>
          <w:szCs w:val="24"/>
        </w:rPr>
        <w:t xml:space="preserve">ercato </w:t>
      </w:r>
      <w:r w:rsidR="001534C0" w:rsidRPr="003D3270">
        <w:rPr>
          <w:rFonts w:asciiTheme="minorHAnsi" w:eastAsia="Calibri" w:hAnsiTheme="minorHAnsi" w:cstheme="minorHAnsi"/>
          <w:szCs w:val="24"/>
        </w:rPr>
        <w:t>201</w:t>
      </w:r>
      <w:r w:rsidR="00AF3CF5" w:rsidRPr="003D3270">
        <w:rPr>
          <w:rFonts w:asciiTheme="minorHAnsi" w:eastAsia="Calibri" w:hAnsiTheme="minorHAnsi" w:cstheme="minorHAnsi"/>
          <w:szCs w:val="24"/>
        </w:rPr>
        <w:t>5</w:t>
      </w:r>
      <w:r w:rsidR="001534C0" w:rsidRPr="003D3270">
        <w:rPr>
          <w:rFonts w:asciiTheme="minorHAnsi" w:eastAsia="Calibri" w:hAnsiTheme="minorHAnsi" w:cstheme="minorHAnsi"/>
          <w:szCs w:val="24"/>
        </w:rPr>
        <w:t xml:space="preserve"> </w:t>
      </w:r>
      <w:r w:rsidR="006A0BF2" w:rsidRPr="003D3270">
        <w:rPr>
          <w:rFonts w:asciiTheme="minorHAnsi" w:eastAsia="Calibri" w:hAnsiTheme="minorHAnsi" w:cstheme="minorHAnsi"/>
          <w:szCs w:val="24"/>
        </w:rPr>
        <w:t xml:space="preserve">delle case per vacanza </w:t>
      </w:r>
      <w:r w:rsidR="00864A95" w:rsidRPr="003D3270">
        <w:rPr>
          <w:rFonts w:asciiTheme="minorHAnsi" w:eastAsia="Calibri" w:hAnsiTheme="minorHAnsi" w:cstheme="minorHAnsi"/>
          <w:szCs w:val="24"/>
        </w:rPr>
        <w:t xml:space="preserve">in </w:t>
      </w:r>
      <w:r w:rsidR="006A0BF2" w:rsidRPr="003D3270">
        <w:rPr>
          <w:rFonts w:asciiTheme="minorHAnsi" w:eastAsia="Calibri" w:hAnsiTheme="minorHAnsi" w:cstheme="minorHAnsi"/>
          <w:szCs w:val="24"/>
        </w:rPr>
        <w:t>Italia</w:t>
      </w:r>
      <w:r w:rsidR="00AF3CF5" w:rsidRPr="003D3270">
        <w:rPr>
          <w:rFonts w:asciiTheme="minorHAnsi" w:eastAsia="Calibri" w:hAnsiTheme="minorHAnsi" w:cstheme="minorHAnsi"/>
          <w:szCs w:val="24"/>
        </w:rPr>
        <w:t>,</w:t>
      </w:r>
      <w:r w:rsidR="00864A95" w:rsidRPr="003D3270">
        <w:rPr>
          <w:rFonts w:asciiTheme="minorHAnsi" w:eastAsia="Calibri" w:hAnsiTheme="minorHAnsi" w:cstheme="minorHAnsi"/>
          <w:szCs w:val="24"/>
        </w:rPr>
        <w:t xml:space="preserve"> attraverso l’analisi dei dati </w:t>
      </w:r>
      <w:r w:rsidR="004D2B7B" w:rsidRPr="003D3270">
        <w:rPr>
          <w:rFonts w:asciiTheme="minorHAnsi" w:eastAsia="Calibri" w:hAnsiTheme="minorHAnsi" w:cstheme="minorHAnsi"/>
          <w:szCs w:val="24"/>
        </w:rPr>
        <w:t xml:space="preserve">delle locazioni </w:t>
      </w:r>
      <w:r w:rsidR="00F9000B" w:rsidRPr="003D3270">
        <w:rPr>
          <w:rFonts w:asciiTheme="minorHAnsi" w:eastAsia="Calibri" w:hAnsiTheme="minorHAnsi" w:cstheme="minorHAnsi"/>
          <w:szCs w:val="24"/>
        </w:rPr>
        <w:t xml:space="preserve">e delle </w:t>
      </w:r>
      <w:r w:rsidR="00F9000B" w:rsidRPr="00BF3C11">
        <w:rPr>
          <w:rFonts w:asciiTheme="minorHAnsi" w:eastAsia="Calibri" w:hAnsiTheme="minorHAnsi" w:cstheme="minorHAnsi"/>
          <w:szCs w:val="24"/>
        </w:rPr>
        <w:t xml:space="preserve">compravendite </w:t>
      </w:r>
      <w:r w:rsidR="0019429B" w:rsidRPr="00BF3C11">
        <w:rPr>
          <w:rFonts w:asciiTheme="minorHAnsi" w:eastAsia="Calibri" w:hAnsiTheme="minorHAnsi" w:cstheme="minorHAnsi"/>
          <w:szCs w:val="24"/>
        </w:rPr>
        <w:t xml:space="preserve">di </w:t>
      </w:r>
      <w:r w:rsidR="00864A95" w:rsidRPr="00BF3C11">
        <w:rPr>
          <w:rFonts w:asciiTheme="minorHAnsi" w:eastAsia="Calibri" w:hAnsiTheme="minorHAnsi" w:cstheme="minorHAnsi"/>
          <w:szCs w:val="24"/>
        </w:rPr>
        <w:t>18</w:t>
      </w:r>
      <w:r w:rsidR="00AF3CF5" w:rsidRPr="00BF3C11">
        <w:rPr>
          <w:rFonts w:asciiTheme="minorHAnsi" w:eastAsia="Calibri" w:hAnsiTheme="minorHAnsi" w:cstheme="minorHAnsi"/>
          <w:szCs w:val="24"/>
        </w:rPr>
        <w:t>5</w:t>
      </w:r>
      <w:r w:rsidR="00864A95" w:rsidRPr="00BF3C11">
        <w:rPr>
          <w:rFonts w:asciiTheme="minorHAnsi" w:eastAsia="Calibri" w:hAnsiTheme="minorHAnsi" w:cstheme="minorHAnsi"/>
          <w:szCs w:val="24"/>
        </w:rPr>
        <w:t xml:space="preserve"> località di mare e </w:t>
      </w:r>
      <w:r w:rsidR="00AF3CF5" w:rsidRPr="00BF3C11">
        <w:rPr>
          <w:rFonts w:asciiTheme="minorHAnsi" w:eastAsia="Calibri" w:hAnsiTheme="minorHAnsi" w:cstheme="minorHAnsi"/>
          <w:szCs w:val="24"/>
        </w:rPr>
        <w:t>100</w:t>
      </w:r>
      <w:r w:rsidR="00864A95" w:rsidRPr="003D3270">
        <w:rPr>
          <w:rFonts w:asciiTheme="minorHAnsi" w:eastAsia="Calibri" w:hAnsiTheme="minorHAnsi" w:cstheme="minorHAnsi"/>
          <w:szCs w:val="24"/>
        </w:rPr>
        <w:t xml:space="preserve"> di montagna e lago. </w:t>
      </w:r>
    </w:p>
    <w:p w:rsidR="00582B11" w:rsidRDefault="00582B11" w:rsidP="00D859D7">
      <w:pPr>
        <w:spacing w:after="200" w:line="276" w:lineRule="auto"/>
        <w:rPr>
          <w:rFonts w:asciiTheme="minorHAnsi" w:eastAsia="Calibri" w:hAnsiTheme="minorHAnsi" w:cstheme="minorHAnsi"/>
          <w:szCs w:val="24"/>
        </w:rPr>
      </w:pPr>
    </w:p>
    <w:p w:rsidR="00D859D7" w:rsidRPr="003D3270" w:rsidRDefault="00D859D7" w:rsidP="00D859D7">
      <w:pPr>
        <w:spacing w:after="200" w:line="276" w:lineRule="auto"/>
        <w:rPr>
          <w:rFonts w:asciiTheme="minorHAnsi" w:eastAsia="Calibri" w:hAnsiTheme="minorHAnsi" w:cstheme="minorHAnsi"/>
          <w:szCs w:val="24"/>
        </w:rPr>
      </w:pPr>
      <w:r w:rsidRPr="003D3270">
        <w:rPr>
          <w:rFonts w:asciiTheme="minorHAnsi" w:eastAsia="Calibri" w:hAnsiTheme="minorHAnsi" w:cstheme="minorHAnsi"/>
          <w:szCs w:val="24"/>
        </w:rPr>
        <w:t xml:space="preserve">Questi i punti principali </w:t>
      </w:r>
      <w:r>
        <w:rPr>
          <w:rFonts w:asciiTheme="minorHAnsi" w:eastAsia="Calibri" w:hAnsiTheme="minorHAnsi" w:cstheme="minorHAnsi"/>
          <w:szCs w:val="24"/>
        </w:rPr>
        <w:t>dell’analisi</w:t>
      </w:r>
      <w:r w:rsidRPr="003D3270">
        <w:rPr>
          <w:rFonts w:asciiTheme="minorHAnsi" w:eastAsia="Calibri" w:hAnsiTheme="minorHAnsi" w:cstheme="minorHAnsi"/>
          <w:szCs w:val="24"/>
        </w:rPr>
        <w:t>:</w:t>
      </w:r>
    </w:p>
    <w:p w:rsidR="00D859D7" w:rsidRPr="00D859D7" w:rsidRDefault="00D859D7" w:rsidP="00D859D7">
      <w:pPr>
        <w:pStyle w:val="Paragrafoelenco"/>
        <w:numPr>
          <w:ilvl w:val="0"/>
          <w:numId w:val="2"/>
        </w:numPr>
        <w:spacing w:after="200" w:line="276" w:lineRule="auto"/>
        <w:rPr>
          <w:rFonts w:asciiTheme="minorHAnsi" w:eastAsia="Calibri" w:hAnsiTheme="minorHAnsi" w:cstheme="minorHAnsi"/>
          <w:b/>
          <w:szCs w:val="24"/>
        </w:rPr>
      </w:pPr>
      <w:r w:rsidRPr="00D859D7">
        <w:rPr>
          <w:rFonts w:asciiTheme="minorHAnsi" w:eastAsia="Calibri" w:hAnsiTheme="minorHAnsi" w:cstheme="minorHAnsi"/>
          <w:b/>
          <w:szCs w:val="24"/>
        </w:rPr>
        <w:t>positiv</w:t>
      </w:r>
      <w:r w:rsidR="00582B11">
        <w:rPr>
          <w:rFonts w:asciiTheme="minorHAnsi" w:eastAsia="Calibri" w:hAnsiTheme="minorHAnsi" w:cstheme="minorHAnsi"/>
          <w:b/>
          <w:szCs w:val="24"/>
        </w:rPr>
        <w:t>o</w:t>
      </w:r>
      <w:r w:rsidRPr="00D859D7">
        <w:rPr>
          <w:rFonts w:asciiTheme="minorHAnsi" w:eastAsia="Calibri" w:hAnsiTheme="minorHAnsi" w:cstheme="minorHAnsi"/>
          <w:b/>
          <w:szCs w:val="24"/>
        </w:rPr>
        <w:t xml:space="preserve"> l’andamento delle compravendite delle abitazioni per vacanza. Rispetto al 2013, infatti, nel 2014 sono aumentate le transazioni registrate a livello complessivo (+3,2%), trainate in particolar modo dalle località marine, che hanno fatto segnare un aumento</w:t>
      </w:r>
      <w:r w:rsidR="000D7640">
        <w:rPr>
          <w:rFonts w:asciiTheme="minorHAnsi" w:eastAsia="Calibri" w:hAnsiTheme="minorHAnsi" w:cstheme="minorHAnsi"/>
          <w:b/>
          <w:szCs w:val="24"/>
        </w:rPr>
        <w:t xml:space="preserve"> pari al 4,6</w:t>
      </w:r>
      <w:r w:rsidR="000D7640" w:rsidRPr="00BF3C11">
        <w:rPr>
          <w:rFonts w:asciiTheme="minorHAnsi" w:eastAsia="Calibri" w:hAnsiTheme="minorHAnsi" w:cstheme="minorHAnsi"/>
          <w:b/>
          <w:szCs w:val="24"/>
        </w:rPr>
        <w:t>% (tav.</w:t>
      </w:r>
      <w:r w:rsidRPr="00BF3C11">
        <w:rPr>
          <w:rFonts w:asciiTheme="minorHAnsi" w:eastAsia="Calibri" w:hAnsiTheme="minorHAnsi" w:cstheme="minorHAnsi"/>
          <w:b/>
          <w:szCs w:val="24"/>
        </w:rPr>
        <w:t xml:space="preserve"> </w:t>
      </w:r>
      <w:r w:rsidR="000D7640" w:rsidRPr="00BF3C11">
        <w:rPr>
          <w:rFonts w:asciiTheme="minorHAnsi" w:eastAsia="Calibri" w:hAnsiTheme="minorHAnsi" w:cstheme="minorHAnsi"/>
          <w:b/>
          <w:szCs w:val="24"/>
        </w:rPr>
        <w:t>2)</w:t>
      </w:r>
      <w:r w:rsidRPr="00BF3C11">
        <w:rPr>
          <w:rFonts w:asciiTheme="minorHAnsi" w:eastAsia="Calibri" w:hAnsiTheme="minorHAnsi" w:cstheme="minorHAnsi"/>
          <w:b/>
          <w:szCs w:val="24"/>
        </w:rPr>
        <w:t>;</w:t>
      </w:r>
    </w:p>
    <w:p w:rsidR="00D859D7" w:rsidRPr="00D859D7" w:rsidRDefault="00D859D7" w:rsidP="00D859D7">
      <w:pPr>
        <w:pStyle w:val="Paragrafoelenco"/>
        <w:ind w:left="357"/>
        <w:rPr>
          <w:rFonts w:asciiTheme="minorHAnsi" w:eastAsia="Calibri" w:hAnsiTheme="minorHAnsi" w:cstheme="minorHAnsi"/>
          <w:b/>
          <w:szCs w:val="24"/>
        </w:rPr>
      </w:pPr>
    </w:p>
    <w:p w:rsidR="00D859D7" w:rsidRPr="00D859D7" w:rsidRDefault="000D7640" w:rsidP="00D859D7">
      <w:pPr>
        <w:pStyle w:val="Paragrafoelenco"/>
        <w:numPr>
          <w:ilvl w:val="0"/>
          <w:numId w:val="2"/>
        </w:numPr>
        <w:spacing w:after="200" w:line="276" w:lineRule="auto"/>
        <w:rPr>
          <w:rFonts w:asciiTheme="minorHAnsi" w:eastAsia="Calibri" w:hAnsiTheme="minorHAnsi" w:cstheme="minorHAnsi"/>
          <w:b/>
          <w:szCs w:val="24"/>
        </w:rPr>
      </w:pPr>
      <w:r w:rsidRPr="00BF3C11">
        <w:rPr>
          <w:rFonts w:asciiTheme="minorHAnsi" w:eastAsia="Calibri" w:hAnsiTheme="minorHAnsi" w:cstheme="minorHAnsi"/>
          <w:b/>
          <w:szCs w:val="24"/>
        </w:rPr>
        <w:t xml:space="preserve">nel 2015, </w:t>
      </w:r>
      <w:r w:rsidR="00582B11" w:rsidRPr="00BF3C11">
        <w:rPr>
          <w:rFonts w:asciiTheme="minorHAnsi" w:eastAsia="Calibri" w:hAnsiTheme="minorHAnsi" w:cstheme="minorHAnsi"/>
          <w:b/>
          <w:szCs w:val="24"/>
        </w:rPr>
        <w:t>il prezzo medio per l’acquisto di un’abitazione turistica in Italia è di 2.360 euro al mq commerciale con un trend de</w:t>
      </w:r>
      <w:r w:rsidR="00D859D7" w:rsidRPr="00BF3C11">
        <w:rPr>
          <w:rFonts w:asciiTheme="minorHAnsi" w:eastAsia="Calibri" w:hAnsiTheme="minorHAnsi" w:cstheme="minorHAnsi"/>
          <w:b/>
          <w:szCs w:val="24"/>
        </w:rPr>
        <w:t>i prezzi di vendita delle case per vacanza</w:t>
      </w:r>
      <w:r w:rsidR="00582B11" w:rsidRPr="00BF3C11">
        <w:rPr>
          <w:rFonts w:asciiTheme="minorHAnsi" w:eastAsia="Calibri" w:hAnsiTheme="minorHAnsi" w:cstheme="minorHAnsi"/>
          <w:b/>
          <w:szCs w:val="24"/>
        </w:rPr>
        <w:t xml:space="preserve"> in calo</w:t>
      </w:r>
      <w:r w:rsidR="00D859D7" w:rsidRPr="00BF3C11">
        <w:rPr>
          <w:rFonts w:asciiTheme="minorHAnsi" w:eastAsia="Calibri" w:hAnsiTheme="minorHAnsi" w:cstheme="minorHAnsi"/>
          <w:b/>
          <w:szCs w:val="24"/>
        </w:rPr>
        <w:t>: il dato medio segna un -5,0% annuo</w:t>
      </w:r>
      <w:r w:rsidRPr="00BF3C11">
        <w:rPr>
          <w:rFonts w:asciiTheme="minorHAnsi" w:eastAsia="Calibri" w:hAnsiTheme="minorHAnsi" w:cstheme="minorHAnsi"/>
          <w:b/>
          <w:szCs w:val="24"/>
        </w:rPr>
        <w:t xml:space="preserve"> (tav. 3)</w:t>
      </w:r>
      <w:r w:rsidR="00D859D7" w:rsidRPr="00BF3C11">
        <w:rPr>
          <w:rFonts w:asciiTheme="minorHAnsi" w:eastAsia="Calibri" w:hAnsiTheme="minorHAnsi" w:cstheme="minorHAnsi"/>
          <w:b/>
          <w:szCs w:val="24"/>
        </w:rPr>
        <w:t>.</w:t>
      </w:r>
      <w:r w:rsidR="00D859D7" w:rsidRPr="00D859D7">
        <w:rPr>
          <w:rFonts w:asciiTheme="minorHAnsi" w:eastAsia="Calibri" w:hAnsiTheme="minorHAnsi" w:cstheme="minorHAnsi"/>
          <w:b/>
          <w:szCs w:val="24"/>
        </w:rPr>
        <w:t xml:space="preserve"> Le regioni dove si è registrato il calo maggiore sono l’Abruzzo (-9%) e la Calabria (-7,5%), seguite da Basilicata, Marche e Molise, che registrano un -6%. La maggioranza delle regioni (9 su 20) ha fatto segnare una diminuzione dei prezzi in linea con quello medio nazionale (-5%). Solo l’Umbria presenta valori di compravendita pressoché analoghi a quelli del 2014 (-0,6%);</w:t>
      </w:r>
    </w:p>
    <w:p w:rsidR="00D859D7" w:rsidRPr="00D859D7" w:rsidRDefault="00D859D7" w:rsidP="00D859D7">
      <w:pPr>
        <w:pStyle w:val="Paragrafoelenco"/>
        <w:ind w:left="357"/>
        <w:rPr>
          <w:rFonts w:asciiTheme="minorHAnsi" w:eastAsia="Calibri" w:hAnsiTheme="minorHAnsi" w:cstheme="minorHAnsi"/>
          <w:b/>
          <w:szCs w:val="24"/>
        </w:rPr>
      </w:pPr>
    </w:p>
    <w:p w:rsidR="00D859D7" w:rsidRPr="00D859D7" w:rsidRDefault="00582B11" w:rsidP="00D859D7">
      <w:pPr>
        <w:pStyle w:val="Paragrafoelenco"/>
        <w:numPr>
          <w:ilvl w:val="0"/>
          <w:numId w:val="2"/>
        </w:numPr>
        <w:spacing w:after="200" w:line="276" w:lineRule="auto"/>
        <w:rPr>
          <w:rFonts w:asciiTheme="minorHAnsi" w:eastAsia="Calibri" w:hAnsiTheme="minorHAnsi" w:cstheme="minorHAnsi"/>
          <w:b/>
          <w:szCs w:val="24"/>
        </w:rPr>
      </w:pPr>
      <w:r>
        <w:rPr>
          <w:rFonts w:asciiTheme="minorHAnsi" w:eastAsia="Calibri" w:hAnsiTheme="minorHAnsi" w:cstheme="minorHAnsi"/>
          <w:b/>
          <w:szCs w:val="24"/>
        </w:rPr>
        <w:t>n</w:t>
      </w:r>
      <w:r w:rsidR="00D859D7" w:rsidRPr="00D859D7">
        <w:rPr>
          <w:rFonts w:asciiTheme="minorHAnsi" w:eastAsia="Calibri" w:hAnsiTheme="minorHAnsi" w:cstheme="minorHAnsi"/>
          <w:b/>
          <w:szCs w:val="24"/>
        </w:rPr>
        <w:t>elle località marine, il calo maggiore dei prezzi medi di compravendita di appartamenti nel 2015 si registra in Abruzzo (-9,7%), mentre tra le località di montagna o lago la maggiore variazione negativa è in Calabria (-9,5%) [tavola B];</w:t>
      </w:r>
    </w:p>
    <w:p w:rsidR="00D859D7" w:rsidRPr="00D859D7" w:rsidRDefault="00D859D7" w:rsidP="00D859D7">
      <w:pPr>
        <w:pStyle w:val="Paragrafoelenco"/>
        <w:ind w:left="357"/>
        <w:rPr>
          <w:rFonts w:asciiTheme="minorHAnsi" w:eastAsia="Calibri" w:hAnsiTheme="minorHAnsi" w:cstheme="minorHAnsi"/>
          <w:b/>
          <w:sz w:val="22"/>
          <w:szCs w:val="22"/>
        </w:rPr>
      </w:pPr>
    </w:p>
    <w:p w:rsidR="00D859D7" w:rsidRDefault="00D859D7" w:rsidP="00D859D7">
      <w:pPr>
        <w:pStyle w:val="Paragrafoelenco"/>
        <w:numPr>
          <w:ilvl w:val="0"/>
          <w:numId w:val="2"/>
        </w:numPr>
        <w:spacing w:after="200" w:line="276" w:lineRule="auto"/>
        <w:rPr>
          <w:rFonts w:asciiTheme="minorHAnsi" w:eastAsia="Calibri" w:hAnsiTheme="minorHAnsi" w:cstheme="minorHAnsi"/>
          <w:b/>
          <w:szCs w:val="24"/>
        </w:rPr>
      </w:pPr>
      <w:r w:rsidRPr="00D859D7">
        <w:rPr>
          <w:rFonts w:asciiTheme="minorHAnsi" w:eastAsia="Calibri" w:hAnsiTheme="minorHAnsi" w:cstheme="minorHAnsi"/>
          <w:b/>
          <w:szCs w:val="24"/>
        </w:rPr>
        <w:t>Santa Margherita Ligure (GE) si conferma in cima alla classifica delle principali località turistiche per quanto riguarda i prezzi massimi di compravendita di appartamenti top o nuovi, con 14.500 €/mq. Completano il podio Forte dei Marmi (LU) con 14.000 €/mq e Capri (NA) con 13.500 €/mq. A seguire, le più rinomate località montane italiane: Madonna di Campiglio (TN), Courmayeur (AO) e Co</w:t>
      </w:r>
      <w:r w:rsidR="000D7640">
        <w:rPr>
          <w:rFonts w:asciiTheme="minorHAnsi" w:eastAsia="Calibri" w:hAnsiTheme="minorHAnsi" w:cstheme="minorHAnsi"/>
          <w:b/>
          <w:szCs w:val="24"/>
        </w:rPr>
        <w:t>rtina D'Ampezzo (BL) [tavola C];</w:t>
      </w:r>
    </w:p>
    <w:p w:rsidR="000D7640" w:rsidRPr="000D7640" w:rsidRDefault="000D7640" w:rsidP="000D7640">
      <w:pPr>
        <w:pStyle w:val="Paragrafoelenco"/>
        <w:rPr>
          <w:rFonts w:asciiTheme="minorHAnsi" w:eastAsia="Calibri" w:hAnsiTheme="minorHAnsi" w:cstheme="minorHAnsi"/>
          <w:b/>
          <w:szCs w:val="24"/>
        </w:rPr>
      </w:pPr>
    </w:p>
    <w:p w:rsidR="000D7640" w:rsidRPr="00E029FB" w:rsidRDefault="000D7640" w:rsidP="00D859D7">
      <w:pPr>
        <w:pStyle w:val="Paragrafoelenco"/>
        <w:numPr>
          <w:ilvl w:val="0"/>
          <w:numId w:val="2"/>
        </w:numPr>
        <w:spacing w:after="200" w:line="276" w:lineRule="auto"/>
        <w:rPr>
          <w:rFonts w:asciiTheme="minorHAnsi" w:eastAsia="Calibri" w:hAnsiTheme="minorHAnsi" w:cstheme="minorHAnsi"/>
          <w:b/>
          <w:szCs w:val="24"/>
        </w:rPr>
      </w:pPr>
      <w:r w:rsidRPr="00E029FB">
        <w:rPr>
          <w:rFonts w:asciiTheme="minorHAnsi" w:eastAsia="Calibri" w:hAnsiTheme="minorHAnsi" w:cstheme="minorHAnsi"/>
          <w:b/>
          <w:szCs w:val="24"/>
        </w:rPr>
        <w:t>rispetto al 2014, è quasi raddoppiata la percentuale di famiglie (dal 6,6% al 12,2%) interessate all’acquisto di un</w:t>
      </w:r>
      <w:r w:rsidR="00D67886">
        <w:rPr>
          <w:rFonts w:asciiTheme="minorHAnsi" w:eastAsia="Calibri" w:hAnsiTheme="minorHAnsi" w:cstheme="minorHAnsi"/>
          <w:b/>
          <w:szCs w:val="24"/>
        </w:rPr>
        <w:t>’abitazione</w:t>
      </w:r>
      <w:r w:rsidRPr="00E029FB">
        <w:rPr>
          <w:rFonts w:asciiTheme="minorHAnsi" w:eastAsia="Calibri" w:hAnsiTheme="minorHAnsi" w:cstheme="minorHAnsi"/>
          <w:b/>
          <w:szCs w:val="24"/>
        </w:rPr>
        <w:t xml:space="preserve"> nel corso del 2015 (Fig. 1).</w:t>
      </w:r>
    </w:p>
    <w:p w:rsidR="00D859D7" w:rsidRDefault="00D859D7" w:rsidP="00823B23">
      <w:pPr>
        <w:spacing w:line="276" w:lineRule="auto"/>
        <w:rPr>
          <w:rFonts w:asciiTheme="minorHAnsi" w:eastAsia="Calibri" w:hAnsiTheme="minorHAnsi" w:cstheme="minorHAnsi"/>
          <w:szCs w:val="24"/>
        </w:rPr>
      </w:pPr>
    </w:p>
    <w:p w:rsidR="00D859D7" w:rsidRDefault="00D859D7" w:rsidP="00823B23">
      <w:pPr>
        <w:spacing w:line="276" w:lineRule="auto"/>
        <w:rPr>
          <w:rFonts w:asciiTheme="minorHAnsi" w:eastAsia="Calibri" w:hAnsiTheme="minorHAnsi" w:cstheme="minorHAnsi"/>
          <w:szCs w:val="24"/>
        </w:rPr>
      </w:pPr>
    </w:p>
    <w:p w:rsidR="00823B23" w:rsidRPr="003D3270" w:rsidRDefault="00AF3CF5" w:rsidP="00823B23">
      <w:pPr>
        <w:spacing w:line="276" w:lineRule="auto"/>
        <w:rPr>
          <w:rFonts w:asciiTheme="minorHAnsi" w:eastAsia="Calibri" w:hAnsiTheme="minorHAnsi" w:cstheme="minorHAnsi"/>
          <w:szCs w:val="24"/>
        </w:rPr>
      </w:pPr>
      <w:r w:rsidRPr="003D3270">
        <w:rPr>
          <w:rFonts w:asciiTheme="minorHAnsi" w:eastAsia="Calibri" w:hAnsiTheme="minorHAnsi" w:cstheme="minorHAnsi"/>
          <w:szCs w:val="24"/>
        </w:rPr>
        <w:lastRenderedPageBreak/>
        <w:t>Analogamente a quanto registrato nei mercati urbani, nell’ultimo anno è proseguita la tendenza recessiva dei valori immobiliari a</w:t>
      </w:r>
      <w:r w:rsidR="00823B23" w:rsidRPr="003D3270">
        <w:rPr>
          <w:rFonts w:asciiTheme="minorHAnsi" w:eastAsia="Calibri" w:hAnsiTheme="minorHAnsi" w:cstheme="minorHAnsi"/>
          <w:szCs w:val="24"/>
        </w:rPr>
        <w:t>nche nelle località turistiche.</w:t>
      </w:r>
    </w:p>
    <w:p w:rsidR="008B7E41" w:rsidRPr="003D3270" w:rsidRDefault="00AF3CF5" w:rsidP="008B7E41">
      <w:pPr>
        <w:spacing w:line="276" w:lineRule="auto"/>
        <w:rPr>
          <w:rFonts w:asciiTheme="minorHAnsi" w:eastAsia="Calibri" w:hAnsiTheme="minorHAnsi" w:cstheme="minorHAnsi"/>
          <w:szCs w:val="24"/>
        </w:rPr>
      </w:pPr>
      <w:r w:rsidRPr="003D3270">
        <w:rPr>
          <w:rFonts w:asciiTheme="minorHAnsi" w:eastAsia="Calibri" w:hAnsiTheme="minorHAnsi" w:cstheme="minorHAnsi"/>
          <w:szCs w:val="24"/>
        </w:rPr>
        <w:t xml:space="preserve">Senza differenze significative tra mare e montagna, è continuata la dinamica negativa dei prezzi, con correzioni in media nell’ordine del 5%. A far segnare gli arretramenti più marcati sono state le località minori </w:t>
      </w:r>
      <w:r w:rsidR="00C25B34" w:rsidRPr="003D3270">
        <w:rPr>
          <w:rFonts w:asciiTheme="minorHAnsi" w:eastAsia="Calibri" w:hAnsiTheme="minorHAnsi" w:cstheme="minorHAnsi"/>
          <w:szCs w:val="24"/>
        </w:rPr>
        <w:t xml:space="preserve">di Abruzzo e Calabria, con variazioni annuali </w:t>
      </w:r>
      <w:r w:rsidR="008B7E41" w:rsidRPr="003D3270">
        <w:rPr>
          <w:rFonts w:asciiTheme="minorHAnsi" w:eastAsia="Calibri" w:hAnsiTheme="minorHAnsi" w:cstheme="minorHAnsi"/>
          <w:szCs w:val="24"/>
        </w:rPr>
        <w:t xml:space="preserve">in parecchi casi </w:t>
      </w:r>
      <w:r w:rsidR="00C25B34" w:rsidRPr="003D3270">
        <w:rPr>
          <w:rFonts w:asciiTheme="minorHAnsi" w:eastAsia="Calibri" w:hAnsiTheme="minorHAnsi" w:cstheme="minorHAnsi"/>
          <w:szCs w:val="24"/>
        </w:rPr>
        <w:t xml:space="preserve">superiori al 10%, </w:t>
      </w:r>
      <w:r w:rsidRPr="003D3270">
        <w:rPr>
          <w:rFonts w:asciiTheme="minorHAnsi" w:eastAsia="Calibri" w:hAnsiTheme="minorHAnsi" w:cstheme="minorHAnsi"/>
          <w:szCs w:val="24"/>
        </w:rPr>
        <w:t xml:space="preserve">seppure non siano mancate riduzioni significative anche in corrispondenza di alcune delle località </w:t>
      </w:r>
      <w:r w:rsidR="00C25B34" w:rsidRPr="003D3270">
        <w:rPr>
          <w:rFonts w:asciiTheme="minorHAnsi" w:eastAsia="Calibri" w:hAnsiTheme="minorHAnsi" w:cstheme="minorHAnsi"/>
          <w:szCs w:val="24"/>
        </w:rPr>
        <w:t xml:space="preserve">italiane </w:t>
      </w:r>
      <w:r w:rsidRPr="003D3270">
        <w:rPr>
          <w:rFonts w:asciiTheme="minorHAnsi" w:eastAsia="Calibri" w:hAnsiTheme="minorHAnsi" w:cstheme="minorHAnsi"/>
          <w:szCs w:val="24"/>
        </w:rPr>
        <w:t>più rinomate (</w:t>
      </w:r>
      <w:r w:rsidR="00C25B34" w:rsidRPr="003D3270">
        <w:rPr>
          <w:rFonts w:asciiTheme="minorHAnsi" w:eastAsia="Calibri" w:hAnsiTheme="minorHAnsi" w:cstheme="minorHAnsi"/>
          <w:szCs w:val="24"/>
        </w:rPr>
        <w:t>Viareggio -10,2%, Forte dei Marmi -9,5%, Sestriere -8,3%, Madonna di Campiglio -7,4%, Lampedusa -7,1%</w:t>
      </w:r>
      <w:r w:rsidR="008B7E41" w:rsidRPr="003D3270">
        <w:rPr>
          <w:rFonts w:asciiTheme="minorHAnsi" w:eastAsia="Calibri" w:hAnsiTheme="minorHAnsi" w:cstheme="minorHAnsi"/>
          <w:szCs w:val="24"/>
        </w:rPr>
        <w:t>).</w:t>
      </w:r>
    </w:p>
    <w:p w:rsidR="007C0B66" w:rsidRPr="003D3270" w:rsidRDefault="00AF3CF5" w:rsidP="007C0B66">
      <w:pPr>
        <w:spacing w:line="276" w:lineRule="auto"/>
        <w:rPr>
          <w:rFonts w:asciiTheme="minorHAnsi" w:eastAsia="Calibri" w:hAnsiTheme="minorHAnsi" w:cstheme="minorHAnsi"/>
          <w:szCs w:val="24"/>
        </w:rPr>
      </w:pPr>
      <w:r w:rsidRPr="003D3270">
        <w:rPr>
          <w:rFonts w:asciiTheme="minorHAnsi" w:eastAsia="Calibri" w:hAnsiTheme="minorHAnsi" w:cstheme="minorHAnsi"/>
          <w:szCs w:val="24"/>
        </w:rPr>
        <w:t xml:space="preserve">All’interno dei singoli mercati, sono in genere le localizzazioni periferiche ad evidenziare segnali di debolezza più accentuati, con cali medi </w:t>
      </w:r>
      <w:r w:rsidR="0051067D" w:rsidRPr="003D3270">
        <w:rPr>
          <w:rFonts w:asciiTheme="minorHAnsi" w:eastAsia="Calibri" w:hAnsiTheme="minorHAnsi" w:cstheme="minorHAnsi"/>
          <w:szCs w:val="24"/>
        </w:rPr>
        <w:t xml:space="preserve">che sfiorano il </w:t>
      </w:r>
      <w:r w:rsidR="007C0B66" w:rsidRPr="003D3270">
        <w:rPr>
          <w:rFonts w:asciiTheme="minorHAnsi" w:eastAsia="Calibri" w:hAnsiTheme="minorHAnsi" w:cstheme="minorHAnsi"/>
          <w:szCs w:val="24"/>
        </w:rPr>
        <w:t>7</w:t>
      </w:r>
      <w:r w:rsidR="0051067D" w:rsidRPr="003D3270">
        <w:rPr>
          <w:rFonts w:asciiTheme="minorHAnsi" w:eastAsia="Calibri" w:hAnsiTheme="minorHAnsi" w:cstheme="minorHAnsi"/>
          <w:szCs w:val="24"/>
        </w:rPr>
        <w:t>%,</w:t>
      </w:r>
      <w:r w:rsidRPr="003D3270">
        <w:rPr>
          <w:rFonts w:asciiTheme="minorHAnsi" w:eastAsia="Calibri" w:hAnsiTheme="minorHAnsi" w:cstheme="minorHAnsi"/>
          <w:szCs w:val="24"/>
        </w:rPr>
        <w:t xml:space="preserve"> ma con punte prossime al </w:t>
      </w:r>
      <w:r w:rsidR="00FA4D09" w:rsidRPr="003D3270">
        <w:rPr>
          <w:rFonts w:asciiTheme="minorHAnsi" w:eastAsia="Calibri" w:hAnsiTheme="minorHAnsi" w:cstheme="minorHAnsi"/>
          <w:szCs w:val="24"/>
        </w:rPr>
        <w:t>17</w:t>
      </w:r>
      <w:r w:rsidRPr="003D3270">
        <w:rPr>
          <w:rFonts w:asciiTheme="minorHAnsi" w:eastAsia="Calibri" w:hAnsiTheme="minorHAnsi" w:cstheme="minorHAnsi"/>
          <w:szCs w:val="24"/>
        </w:rPr>
        <w:t>%.</w:t>
      </w:r>
    </w:p>
    <w:p w:rsidR="00571016" w:rsidRPr="003D3270" w:rsidRDefault="00AF3CF5" w:rsidP="00571016">
      <w:pPr>
        <w:spacing w:line="276" w:lineRule="auto"/>
        <w:rPr>
          <w:rFonts w:asciiTheme="minorHAnsi" w:eastAsia="Calibri" w:hAnsiTheme="minorHAnsi" w:cstheme="minorHAnsi"/>
          <w:szCs w:val="24"/>
        </w:rPr>
      </w:pPr>
      <w:r w:rsidRPr="003D3270">
        <w:rPr>
          <w:rFonts w:asciiTheme="minorHAnsi" w:eastAsia="Calibri" w:hAnsiTheme="minorHAnsi" w:cstheme="minorHAnsi"/>
          <w:szCs w:val="24"/>
        </w:rPr>
        <w:t>A conferma della sostanziale omogeneità di andamento complessivo</w:t>
      </w:r>
      <w:r w:rsidR="00C347B9" w:rsidRPr="003D3270">
        <w:rPr>
          <w:rFonts w:asciiTheme="minorHAnsi" w:eastAsia="Calibri" w:hAnsiTheme="minorHAnsi" w:cstheme="minorHAnsi"/>
          <w:szCs w:val="24"/>
        </w:rPr>
        <w:t>,</w:t>
      </w:r>
      <w:r w:rsidRPr="003D3270">
        <w:rPr>
          <w:rFonts w:asciiTheme="minorHAnsi" w:eastAsia="Calibri" w:hAnsiTheme="minorHAnsi" w:cstheme="minorHAnsi"/>
          <w:szCs w:val="24"/>
        </w:rPr>
        <w:t xml:space="preserve"> è tuttavia possibile citare i segnali recessivi registrati nelle zone più richieste per gli immobili di migliore qualità. In questo caso, l’arretramento, pur risultando più contenuto, si è comunque attestato in media nell’ordine del</w:t>
      </w:r>
      <w:r w:rsidR="00FA4D09" w:rsidRPr="003D3270">
        <w:rPr>
          <w:rFonts w:asciiTheme="minorHAnsi" w:eastAsia="Calibri" w:hAnsiTheme="minorHAnsi" w:cstheme="minorHAnsi"/>
          <w:szCs w:val="24"/>
        </w:rPr>
        <w:t xml:space="preserve"> 4</w:t>
      </w:r>
      <w:r w:rsidRPr="003D3270">
        <w:rPr>
          <w:rFonts w:asciiTheme="minorHAnsi" w:eastAsia="Calibri" w:hAnsiTheme="minorHAnsi" w:cstheme="minorHAnsi"/>
          <w:szCs w:val="24"/>
        </w:rPr>
        <w:t xml:space="preserve">%, con picchi di poco superiori </w:t>
      </w:r>
      <w:r w:rsidR="00FA4D09" w:rsidRPr="003D3270">
        <w:rPr>
          <w:rFonts w:asciiTheme="minorHAnsi" w:eastAsia="Calibri" w:hAnsiTheme="minorHAnsi" w:cstheme="minorHAnsi"/>
          <w:szCs w:val="24"/>
        </w:rPr>
        <w:t>al</w:t>
      </w:r>
      <w:r w:rsidRPr="003D3270">
        <w:rPr>
          <w:rFonts w:asciiTheme="minorHAnsi" w:eastAsia="Calibri" w:hAnsiTheme="minorHAnsi" w:cstheme="minorHAnsi"/>
          <w:szCs w:val="24"/>
        </w:rPr>
        <w:t xml:space="preserve"> 1</w:t>
      </w:r>
      <w:r w:rsidR="00FA4D09" w:rsidRPr="003D3270">
        <w:rPr>
          <w:rFonts w:asciiTheme="minorHAnsi" w:eastAsia="Calibri" w:hAnsiTheme="minorHAnsi" w:cstheme="minorHAnsi"/>
          <w:szCs w:val="24"/>
        </w:rPr>
        <w:t>3%</w:t>
      </w:r>
      <w:r w:rsidR="00571016" w:rsidRPr="003D3270">
        <w:rPr>
          <w:rFonts w:asciiTheme="minorHAnsi" w:eastAsia="Calibri" w:hAnsiTheme="minorHAnsi" w:cstheme="minorHAnsi"/>
          <w:szCs w:val="24"/>
        </w:rPr>
        <w:t>.</w:t>
      </w:r>
    </w:p>
    <w:p w:rsidR="00F23EA6" w:rsidRPr="003D3270" w:rsidRDefault="00AF3CF5" w:rsidP="00AF3CF5">
      <w:pPr>
        <w:spacing w:after="200" w:line="276" w:lineRule="auto"/>
        <w:rPr>
          <w:rFonts w:asciiTheme="minorHAnsi" w:eastAsia="Calibri" w:hAnsiTheme="minorHAnsi" w:cstheme="minorHAnsi"/>
          <w:szCs w:val="24"/>
        </w:rPr>
      </w:pPr>
      <w:r w:rsidRPr="003D3270">
        <w:rPr>
          <w:rFonts w:asciiTheme="minorHAnsi" w:eastAsia="Calibri" w:hAnsiTheme="minorHAnsi" w:cstheme="minorHAnsi"/>
          <w:szCs w:val="24"/>
        </w:rPr>
        <w:t>Rispetto allo scorso anno non emergono evidenze di un rallentamento della spinta recessiva</w:t>
      </w:r>
      <w:r w:rsidR="00F23EA6" w:rsidRPr="003D3270">
        <w:rPr>
          <w:rFonts w:asciiTheme="minorHAnsi" w:eastAsia="Calibri" w:hAnsiTheme="minorHAnsi" w:cstheme="minorHAnsi"/>
          <w:szCs w:val="24"/>
        </w:rPr>
        <w:t>,</w:t>
      </w:r>
      <w:r w:rsidRPr="003D3270">
        <w:rPr>
          <w:rFonts w:asciiTheme="minorHAnsi" w:eastAsia="Calibri" w:hAnsiTheme="minorHAnsi" w:cstheme="minorHAnsi"/>
          <w:szCs w:val="24"/>
        </w:rPr>
        <w:t xml:space="preserve"> sia a livello medio gen</w:t>
      </w:r>
      <w:r w:rsidR="00F23EA6" w:rsidRPr="003D3270">
        <w:rPr>
          <w:rFonts w:asciiTheme="minorHAnsi" w:eastAsia="Calibri" w:hAnsiTheme="minorHAnsi" w:cstheme="minorHAnsi"/>
          <w:szCs w:val="24"/>
        </w:rPr>
        <w:t>erale che all’interno dei sotto-mercati.</w:t>
      </w:r>
    </w:p>
    <w:p w:rsidR="00AF3CF5" w:rsidRPr="004670CE" w:rsidRDefault="00F23EA6" w:rsidP="00AF3CF5">
      <w:pPr>
        <w:spacing w:after="200" w:line="276" w:lineRule="auto"/>
        <w:rPr>
          <w:rFonts w:asciiTheme="minorHAnsi" w:eastAsia="Calibri" w:hAnsiTheme="minorHAnsi" w:cstheme="minorHAnsi"/>
          <w:szCs w:val="24"/>
        </w:rPr>
      </w:pPr>
      <w:r w:rsidRPr="004670CE">
        <w:rPr>
          <w:rFonts w:asciiTheme="minorHAnsi" w:eastAsia="Calibri" w:hAnsiTheme="minorHAnsi" w:cstheme="minorHAnsi"/>
          <w:szCs w:val="24"/>
        </w:rPr>
        <w:t>A</w:t>
      </w:r>
      <w:r w:rsidR="00AF3CF5" w:rsidRPr="004670CE">
        <w:rPr>
          <w:rFonts w:asciiTheme="minorHAnsi" w:eastAsia="Calibri" w:hAnsiTheme="minorHAnsi" w:cstheme="minorHAnsi"/>
          <w:szCs w:val="24"/>
        </w:rPr>
        <w:t>nche dal comparto locativo non emergono evidenze di un’inversione di tendenza. Gli effetti della crisi si sono concretizzati in una progressiva riduzione della domanda, sia in termini assoluti che di durata delle locazioni, che si è inevitabilmente tradotta</w:t>
      </w:r>
      <w:r w:rsidR="004670CE" w:rsidRPr="004670CE">
        <w:rPr>
          <w:rFonts w:asciiTheme="minorHAnsi" w:eastAsia="Calibri" w:hAnsiTheme="minorHAnsi" w:cstheme="minorHAnsi"/>
          <w:szCs w:val="24"/>
        </w:rPr>
        <w:t xml:space="preserve"> in linea generale</w:t>
      </w:r>
      <w:r w:rsidR="00AF3CF5" w:rsidRPr="004670CE">
        <w:rPr>
          <w:rFonts w:asciiTheme="minorHAnsi" w:eastAsia="Calibri" w:hAnsiTheme="minorHAnsi" w:cstheme="minorHAnsi"/>
          <w:szCs w:val="24"/>
        </w:rPr>
        <w:t xml:space="preserve"> in una </w:t>
      </w:r>
      <w:r w:rsidR="004670CE" w:rsidRPr="004670CE">
        <w:rPr>
          <w:rFonts w:asciiTheme="minorHAnsi" w:eastAsia="Calibri" w:hAnsiTheme="minorHAnsi" w:cstheme="minorHAnsi"/>
          <w:szCs w:val="24"/>
        </w:rPr>
        <w:t>pressione al ribasso sui</w:t>
      </w:r>
      <w:r w:rsidR="00AF3CF5" w:rsidRPr="004670CE">
        <w:rPr>
          <w:rFonts w:asciiTheme="minorHAnsi" w:eastAsia="Calibri" w:hAnsiTheme="minorHAnsi" w:cstheme="minorHAnsi"/>
          <w:szCs w:val="24"/>
        </w:rPr>
        <w:t xml:space="preserve"> canoni, </w:t>
      </w:r>
      <w:r w:rsidR="004670CE" w:rsidRPr="004670CE">
        <w:rPr>
          <w:rFonts w:asciiTheme="minorHAnsi" w:eastAsia="Calibri" w:hAnsiTheme="minorHAnsi" w:cstheme="minorHAnsi"/>
          <w:szCs w:val="24"/>
        </w:rPr>
        <w:t>anche s</w:t>
      </w:r>
      <w:r w:rsidR="004B5739">
        <w:rPr>
          <w:rFonts w:asciiTheme="minorHAnsi" w:eastAsia="Calibri" w:hAnsiTheme="minorHAnsi" w:cstheme="minorHAnsi"/>
          <w:szCs w:val="24"/>
        </w:rPr>
        <w:t>e</w:t>
      </w:r>
      <w:r w:rsidR="004670CE" w:rsidRPr="004670CE">
        <w:rPr>
          <w:rFonts w:asciiTheme="minorHAnsi" w:eastAsia="Calibri" w:hAnsiTheme="minorHAnsi" w:cstheme="minorHAnsi"/>
          <w:szCs w:val="24"/>
        </w:rPr>
        <w:t xml:space="preserve"> sul fenomeno non sono disponibili dati di confronto puntuale con </w:t>
      </w:r>
      <w:r w:rsidR="004670CE">
        <w:rPr>
          <w:rFonts w:asciiTheme="minorHAnsi" w:eastAsia="Calibri" w:hAnsiTheme="minorHAnsi" w:cstheme="minorHAnsi"/>
          <w:szCs w:val="24"/>
        </w:rPr>
        <w:t>il 2014, a causa dell’esiguità delle informazioni raccolte nel corso dello scorso anno.</w:t>
      </w:r>
    </w:p>
    <w:p w:rsidR="00AF3CF5" w:rsidRPr="003D3270" w:rsidRDefault="00AF3CF5" w:rsidP="00AF3CF5">
      <w:pPr>
        <w:spacing w:after="200" w:line="276" w:lineRule="auto"/>
        <w:rPr>
          <w:rFonts w:asciiTheme="minorHAnsi" w:eastAsia="Calibri" w:hAnsiTheme="minorHAnsi" w:cstheme="minorHAnsi"/>
          <w:szCs w:val="24"/>
        </w:rPr>
      </w:pPr>
      <w:r w:rsidRPr="003D3270">
        <w:rPr>
          <w:rFonts w:asciiTheme="minorHAnsi" w:eastAsia="Calibri" w:hAnsiTheme="minorHAnsi" w:cstheme="minorHAnsi"/>
          <w:szCs w:val="24"/>
        </w:rPr>
        <w:t>Qualche segnale di maggiore ottimismo scaturisce dall’ana</w:t>
      </w:r>
      <w:r w:rsidR="00F23EA6" w:rsidRPr="003D3270">
        <w:rPr>
          <w:rFonts w:asciiTheme="minorHAnsi" w:eastAsia="Calibri" w:hAnsiTheme="minorHAnsi" w:cstheme="minorHAnsi"/>
          <w:szCs w:val="24"/>
        </w:rPr>
        <w:t>lisi dell’attività transattiva</w:t>
      </w:r>
      <w:r w:rsidR="00A13210" w:rsidRPr="003D3270">
        <w:rPr>
          <w:rFonts w:asciiTheme="minorHAnsi" w:eastAsia="Calibri" w:hAnsiTheme="minorHAnsi" w:cstheme="minorHAnsi"/>
          <w:szCs w:val="24"/>
        </w:rPr>
        <w:t xml:space="preserve"> delle località analizzate in questo Osservatorio</w:t>
      </w:r>
      <w:r w:rsidRPr="003D3270">
        <w:rPr>
          <w:rFonts w:asciiTheme="minorHAnsi" w:eastAsia="Calibri" w:hAnsiTheme="minorHAnsi" w:cstheme="minorHAnsi"/>
          <w:szCs w:val="24"/>
        </w:rPr>
        <w:t>. Rispetto allo scorso anno, infatti</w:t>
      </w:r>
      <w:r w:rsidR="00F23EA6" w:rsidRPr="003D3270">
        <w:rPr>
          <w:rFonts w:asciiTheme="minorHAnsi" w:eastAsia="Calibri" w:hAnsiTheme="minorHAnsi" w:cstheme="minorHAnsi"/>
          <w:szCs w:val="24"/>
        </w:rPr>
        <w:t>,</w:t>
      </w:r>
      <w:r w:rsidRPr="003D3270">
        <w:rPr>
          <w:rFonts w:asciiTheme="minorHAnsi" w:eastAsia="Calibri" w:hAnsiTheme="minorHAnsi" w:cstheme="minorHAnsi"/>
          <w:szCs w:val="24"/>
        </w:rPr>
        <w:t xml:space="preserve"> </w:t>
      </w:r>
      <w:r w:rsidR="00A13210" w:rsidRPr="003D3270">
        <w:rPr>
          <w:rFonts w:asciiTheme="minorHAnsi" w:eastAsia="Calibri" w:hAnsiTheme="minorHAnsi" w:cstheme="minorHAnsi"/>
          <w:szCs w:val="24"/>
        </w:rPr>
        <w:t>sono aumentate le transazioni registrate a livello complessivo (+3,2%), trainate in particolar modo dalle località mari</w:t>
      </w:r>
      <w:r w:rsidR="00167778" w:rsidRPr="003D3270">
        <w:rPr>
          <w:rFonts w:asciiTheme="minorHAnsi" w:eastAsia="Calibri" w:hAnsiTheme="minorHAnsi" w:cstheme="minorHAnsi"/>
          <w:szCs w:val="24"/>
        </w:rPr>
        <w:t>n</w:t>
      </w:r>
      <w:r w:rsidR="00A13210" w:rsidRPr="003D3270">
        <w:rPr>
          <w:rFonts w:asciiTheme="minorHAnsi" w:eastAsia="Calibri" w:hAnsiTheme="minorHAnsi" w:cstheme="minorHAnsi"/>
          <w:szCs w:val="24"/>
        </w:rPr>
        <w:t>e, ch</w:t>
      </w:r>
      <w:r w:rsidRPr="003D3270">
        <w:rPr>
          <w:rFonts w:asciiTheme="minorHAnsi" w:eastAsia="Calibri" w:hAnsiTheme="minorHAnsi" w:cstheme="minorHAnsi"/>
          <w:szCs w:val="24"/>
        </w:rPr>
        <w:t xml:space="preserve">e hanno fatto </w:t>
      </w:r>
      <w:r w:rsidR="00A13210" w:rsidRPr="003D3270">
        <w:rPr>
          <w:rFonts w:asciiTheme="minorHAnsi" w:eastAsia="Calibri" w:hAnsiTheme="minorHAnsi" w:cstheme="minorHAnsi"/>
          <w:szCs w:val="24"/>
        </w:rPr>
        <w:t>segnare un aumento pari al 4,6%.</w:t>
      </w:r>
    </w:p>
    <w:p w:rsidR="004B5739" w:rsidRDefault="00AF3CF5" w:rsidP="00AF3CF5">
      <w:pPr>
        <w:spacing w:after="200" w:line="276" w:lineRule="auto"/>
        <w:rPr>
          <w:rFonts w:asciiTheme="minorHAnsi" w:eastAsia="Calibri" w:hAnsiTheme="minorHAnsi" w:cstheme="minorHAnsi"/>
          <w:szCs w:val="24"/>
        </w:rPr>
      </w:pPr>
      <w:r w:rsidRPr="003D3270">
        <w:rPr>
          <w:rFonts w:asciiTheme="minorHAnsi" w:eastAsia="Calibri" w:hAnsiTheme="minorHAnsi" w:cstheme="minorHAnsi"/>
          <w:szCs w:val="24"/>
        </w:rPr>
        <w:t xml:space="preserve">In ultima analisi, trova conferma la teoria che vuole il mercato delle località turistiche muoversi con un ritardo temporale rispetto agli andamenti che si registrano a livello delle maggiori aree urbane del Paese. La maggiore capacità di resistenza, tanto dal punto di vista transattivo che di tenuta dei valori, dimostrata nei primi anni della crisi, si traduce oggi in una minore reattività rispetto all’emergere di segnali </w:t>
      </w:r>
      <w:r w:rsidR="00A13210" w:rsidRPr="003D3270">
        <w:rPr>
          <w:rFonts w:asciiTheme="minorHAnsi" w:eastAsia="Calibri" w:hAnsiTheme="minorHAnsi" w:cstheme="minorHAnsi"/>
          <w:szCs w:val="24"/>
        </w:rPr>
        <w:t xml:space="preserve">di </w:t>
      </w:r>
      <w:r w:rsidRPr="003D3270">
        <w:rPr>
          <w:rFonts w:asciiTheme="minorHAnsi" w:eastAsia="Calibri" w:hAnsiTheme="minorHAnsi" w:cstheme="minorHAnsi"/>
          <w:szCs w:val="24"/>
        </w:rPr>
        <w:t>miglioramento delle prospettive macroeconomiche e di parziale ritorno di interesse per l’acquisto immobiliare. Solo a partire dal prossimo anno è lecito attendersi l’emergere di concrete indicazioni di ormai prossimo superamento della crisi, che si manifesteranno, come accade oggi nei mercati urbani maggiori, prima con un’intensificazione dell’attività transattiva e, in un secondo tempo, con un’inversione di t</w:t>
      </w:r>
      <w:r w:rsidR="004B5739">
        <w:rPr>
          <w:rFonts w:asciiTheme="minorHAnsi" w:eastAsia="Calibri" w:hAnsiTheme="minorHAnsi" w:cstheme="minorHAnsi"/>
          <w:szCs w:val="24"/>
        </w:rPr>
        <w:t>endenza di prezzi e canoni.</w:t>
      </w:r>
    </w:p>
    <w:p w:rsidR="00073B14" w:rsidRPr="003D3270" w:rsidRDefault="00073B14" w:rsidP="006A0BF2">
      <w:pPr>
        <w:spacing w:after="200" w:line="276" w:lineRule="auto"/>
        <w:rPr>
          <w:rFonts w:asciiTheme="minorHAnsi" w:hAnsiTheme="minorHAnsi"/>
          <w:b/>
          <w:sz w:val="28"/>
          <w:szCs w:val="28"/>
        </w:rPr>
      </w:pPr>
      <w:r w:rsidRPr="003D3270">
        <w:rPr>
          <w:rFonts w:asciiTheme="minorHAnsi" w:hAnsiTheme="minorHAnsi"/>
          <w:b/>
          <w:sz w:val="28"/>
          <w:szCs w:val="28"/>
        </w:rPr>
        <w:br w:type="page"/>
      </w:r>
    </w:p>
    <w:p w:rsidR="00B74650" w:rsidRPr="00A02EB4" w:rsidRDefault="002D3762" w:rsidP="00AE50F2">
      <w:pPr>
        <w:tabs>
          <w:tab w:val="left" w:pos="357"/>
        </w:tabs>
        <w:suppressAutoHyphens/>
        <w:rPr>
          <w:rFonts w:asciiTheme="minorHAnsi" w:hAnsiTheme="minorHAnsi"/>
          <w:b/>
          <w:sz w:val="28"/>
          <w:szCs w:val="28"/>
        </w:rPr>
      </w:pPr>
      <w:r w:rsidRPr="00A02EB4">
        <w:rPr>
          <w:rFonts w:asciiTheme="minorHAnsi" w:hAnsiTheme="minorHAnsi"/>
          <w:b/>
          <w:sz w:val="28"/>
          <w:szCs w:val="28"/>
        </w:rPr>
        <w:t>I</w:t>
      </w:r>
      <w:r w:rsidR="00AE50F2" w:rsidRPr="00A02EB4">
        <w:rPr>
          <w:rFonts w:asciiTheme="minorHAnsi" w:hAnsiTheme="minorHAnsi"/>
          <w:b/>
          <w:sz w:val="28"/>
          <w:szCs w:val="28"/>
        </w:rPr>
        <w:t>l mercato immobiliare in Italia</w:t>
      </w:r>
    </w:p>
    <w:p w:rsidR="00AE50F2" w:rsidRPr="006344E1" w:rsidRDefault="00AE50F2" w:rsidP="00364602">
      <w:pPr>
        <w:rPr>
          <w:rFonts w:asciiTheme="minorHAnsi" w:eastAsia="Calibri" w:hAnsiTheme="minorHAnsi" w:cstheme="minorHAnsi"/>
          <w:sz w:val="22"/>
          <w:szCs w:val="24"/>
        </w:rPr>
      </w:pPr>
    </w:p>
    <w:p w:rsidR="00A02EB4" w:rsidRPr="00624E7E" w:rsidRDefault="00A02EB4" w:rsidP="00A02EB4">
      <w:pPr>
        <w:widowControl w:val="0"/>
        <w:rPr>
          <w:rFonts w:asciiTheme="minorHAnsi" w:hAnsiTheme="minorHAnsi"/>
          <w:sz w:val="22"/>
          <w:szCs w:val="22"/>
        </w:rPr>
      </w:pPr>
      <w:r w:rsidRPr="00624E7E">
        <w:rPr>
          <w:rFonts w:asciiTheme="minorHAnsi" w:hAnsiTheme="minorHAnsi"/>
          <w:sz w:val="22"/>
          <w:szCs w:val="22"/>
        </w:rPr>
        <w:t>L’atteso irrobustimento della ripresa del mercato immobiliare nel corso del primo semestre dell’anno 2015 non si è verificato, mentre si è registrata una stabilità di tendenze e grandezze che già nel 2014 avevano timidamente modificato segno e dimensione.</w:t>
      </w:r>
    </w:p>
    <w:p w:rsidR="00A02EB4" w:rsidRPr="00624E7E" w:rsidRDefault="00A02EB4" w:rsidP="00A02EB4">
      <w:pPr>
        <w:widowControl w:val="0"/>
        <w:rPr>
          <w:rFonts w:asciiTheme="minorHAnsi" w:hAnsiTheme="minorHAnsi"/>
          <w:sz w:val="22"/>
          <w:szCs w:val="22"/>
        </w:rPr>
      </w:pPr>
      <w:r w:rsidRPr="00624E7E">
        <w:rPr>
          <w:rFonts w:asciiTheme="minorHAnsi" w:hAnsiTheme="minorHAnsi"/>
          <w:sz w:val="22"/>
          <w:szCs w:val="22"/>
        </w:rPr>
        <w:t>La debole crescita dei fondamentali dell’economia del Paese e l’allentamento della stretta creditizia sono</w:t>
      </w:r>
      <w:r>
        <w:rPr>
          <w:rFonts w:asciiTheme="minorHAnsi" w:hAnsiTheme="minorHAnsi"/>
          <w:sz w:val="22"/>
          <w:szCs w:val="22"/>
        </w:rPr>
        <w:t>,</w:t>
      </w:r>
      <w:r w:rsidRPr="00624E7E">
        <w:rPr>
          <w:rFonts w:asciiTheme="minorHAnsi" w:hAnsiTheme="minorHAnsi"/>
          <w:sz w:val="22"/>
          <w:szCs w:val="22"/>
        </w:rPr>
        <w:t xml:space="preserve"> insieme</w:t>
      </w:r>
      <w:r>
        <w:rPr>
          <w:rFonts w:asciiTheme="minorHAnsi" w:hAnsiTheme="minorHAnsi"/>
          <w:sz w:val="22"/>
          <w:szCs w:val="22"/>
        </w:rPr>
        <w:t>,</w:t>
      </w:r>
      <w:r w:rsidRPr="00624E7E">
        <w:rPr>
          <w:rFonts w:asciiTheme="minorHAnsi" w:hAnsiTheme="minorHAnsi"/>
          <w:sz w:val="22"/>
          <w:szCs w:val="22"/>
        </w:rPr>
        <w:t xml:space="preserve"> i fattori alla base del cambiamento in atto sul mercato immobiliare. Ma, così come accade a livello economico generale, anche le performance del settore assomigliano più ad un rimbalzo ciclico piuttosto che ad una reale ripresa, visibile nel ritorno della propensione all’investimento immobiliare e nella ripresa dell’attività transattiva.</w:t>
      </w:r>
    </w:p>
    <w:p w:rsidR="00A02EB4" w:rsidRDefault="00A02EB4" w:rsidP="00A02EB4">
      <w:pPr>
        <w:pStyle w:val="Paragrafoelenco"/>
        <w:widowControl w:val="0"/>
        <w:numPr>
          <w:ilvl w:val="0"/>
          <w:numId w:val="3"/>
        </w:numPr>
        <w:ind w:left="357" w:hanging="357"/>
        <w:rPr>
          <w:rFonts w:asciiTheme="minorHAnsi" w:hAnsiTheme="minorHAnsi"/>
          <w:sz w:val="22"/>
          <w:szCs w:val="22"/>
        </w:rPr>
      </w:pPr>
      <w:r w:rsidRPr="00624E7E">
        <w:rPr>
          <w:rFonts w:asciiTheme="minorHAnsi" w:hAnsiTheme="minorHAnsi"/>
          <w:sz w:val="22"/>
          <w:szCs w:val="22"/>
        </w:rPr>
        <w:t>Nel primo semestre dell’anno si è assistito al riaffacciarsi sul mercato immobiliare di una domanda potenziale che ha, tuttavia, faticato a tradursi in domanda reale;</w:t>
      </w:r>
    </w:p>
    <w:p w:rsidR="00A02EB4" w:rsidRDefault="00A02EB4" w:rsidP="00A02EB4">
      <w:pPr>
        <w:pStyle w:val="Paragrafoelenco"/>
        <w:widowControl w:val="0"/>
        <w:numPr>
          <w:ilvl w:val="0"/>
          <w:numId w:val="3"/>
        </w:numPr>
        <w:ind w:left="357" w:hanging="357"/>
        <w:rPr>
          <w:rFonts w:asciiTheme="minorHAnsi" w:hAnsiTheme="minorHAnsi"/>
          <w:sz w:val="22"/>
          <w:szCs w:val="22"/>
        </w:rPr>
      </w:pPr>
      <w:r w:rsidRPr="00624E7E">
        <w:rPr>
          <w:rFonts w:asciiTheme="minorHAnsi" w:hAnsiTheme="minorHAnsi"/>
          <w:sz w:val="22"/>
          <w:szCs w:val="22"/>
        </w:rPr>
        <w:t>la componente offerta non disposta a rivedere al ribasso le aspettative di realizzo è uscita dal mercato e si è stabilizzata la quota di immobili in vendita o in locazione;</w:t>
      </w:r>
    </w:p>
    <w:p w:rsidR="00A02EB4" w:rsidRDefault="00A02EB4" w:rsidP="00A02EB4">
      <w:pPr>
        <w:pStyle w:val="Paragrafoelenco"/>
        <w:widowControl w:val="0"/>
        <w:numPr>
          <w:ilvl w:val="0"/>
          <w:numId w:val="3"/>
        </w:numPr>
        <w:ind w:left="357" w:hanging="357"/>
        <w:rPr>
          <w:rFonts w:asciiTheme="minorHAnsi" w:hAnsiTheme="minorHAnsi"/>
          <w:sz w:val="22"/>
          <w:szCs w:val="22"/>
        </w:rPr>
      </w:pPr>
      <w:r w:rsidRPr="00624E7E">
        <w:rPr>
          <w:rFonts w:asciiTheme="minorHAnsi" w:hAnsiTheme="minorHAnsi"/>
          <w:sz w:val="22"/>
          <w:szCs w:val="22"/>
        </w:rPr>
        <w:t>i tempi medi per finalizzare l’acquisto o l’affitto, dopo il leggero calo dello scorso anno, sono rimasti pressoché invariati;</w:t>
      </w:r>
    </w:p>
    <w:p w:rsidR="00A02EB4" w:rsidRDefault="00A02EB4" w:rsidP="00A02EB4">
      <w:pPr>
        <w:pStyle w:val="Paragrafoelenco"/>
        <w:widowControl w:val="0"/>
        <w:numPr>
          <w:ilvl w:val="0"/>
          <w:numId w:val="3"/>
        </w:numPr>
        <w:ind w:left="357" w:hanging="357"/>
        <w:rPr>
          <w:rFonts w:asciiTheme="minorHAnsi" w:hAnsiTheme="minorHAnsi"/>
          <w:sz w:val="22"/>
          <w:szCs w:val="22"/>
        </w:rPr>
      </w:pPr>
      <w:r w:rsidRPr="00624E7E">
        <w:rPr>
          <w:rFonts w:asciiTheme="minorHAnsi" w:hAnsiTheme="minorHAnsi"/>
          <w:sz w:val="22"/>
          <w:szCs w:val="22"/>
        </w:rPr>
        <w:t>l’ingente mole di offerta presente sul mercato ha interiorizzato l’esigenza di contenimento dei valori già in fase di proposizione riducendo leggermente, per contro, il margine concesso nel corso della trattativa;</w:t>
      </w:r>
    </w:p>
    <w:p w:rsidR="00A02EB4" w:rsidRDefault="00A02EB4" w:rsidP="00A02EB4">
      <w:pPr>
        <w:pStyle w:val="Paragrafoelenco"/>
        <w:widowControl w:val="0"/>
        <w:numPr>
          <w:ilvl w:val="0"/>
          <w:numId w:val="3"/>
        </w:numPr>
        <w:ind w:left="357" w:hanging="357"/>
        <w:rPr>
          <w:rFonts w:asciiTheme="minorHAnsi" w:hAnsiTheme="minorHAnsi"/>
          <w:sz w:val="22"/>
          <w:szCs w:val="22"/>
        </w:rPr>
      </w:pPr>
      <w:r w:rsidRPr="00624E7E">
        <w:rPr>
          <w:rFonts w:asciiTheme="minorHAnsi" w:hAnsiTheme="minorHAnsi"/>
          <w:sz w:val="22"/>
          <w:szCs w:val="22"/>
        </w:rPr>
        <w:t>le variazioni dei prezzi di compravendita e dei canoni di locazione continuano ad essere in territorio negativo, pur con intensità via via calante;</w:t>
      </w:r>
    </w:p>
    <w:p w:rsidR="00A02EB4" w:rsidRDefault="00A02EB4" w:rsidP="00A02EB4">
      <w:pPr>
        <w:pStyle w:val="Paragrafoelenco"/>
        <w:widowControl w:val="0"/>
        <w:numPr>
          <w:ilvl w:val="0"/>
          <w:numId w:val="3"/>
        </w:numPr>
        <w:ind w:left="357" w:hanging="357"/>
        <w:rPr>
          <w:rFonts w:asciiTheme="minorHAnsi" w:hAnsiTheme="minorHAnsi"/>
          <w:sz w:val="22"/>
          <w:szCs w:val="22"/>
        </w:rPr>
      </w:pPr>
      <w:r w:rsidRPr="00624E7E">
        <w:rPr>
          <w:rFonts w:asciiTheme="minorHAnsi" w:hAnsiTheme="minorHAnsi"/>
          <w:sz w:val="22"/>
          <w:szCs w:val="22"/>
        </w:rPr>
        <w:t>le locazioni di immobili, dopo la ripresa che ha caratterizzato il 2013 e 2014, si sono stabilizzate.</w:t>
      </w:r>
    </w:p>
    <w:p w:rsidR="00A02EB4" w:rsidRPr="00624E7E" w:rsidRDefault="00A02EB4" w:rsidP="00A02EB4">
      <w:pPr>
        <w:widowControl w:val="0"/>
        <w:rPr>
          <w:rFonts w:asciiTheme="minorHAnsi" w:hAnsiTheme="minorHAnsi"/>
          <w:sz w:val="22"/>
          <w:szCs w:val="22"/>
        </w:rPr>
      </w:pPr>
    </w:p>
    <w:tbl>
      <w:tblPr>
        <w:tblW w:w="5000" w:type="pct"/>
        <w:tblCellMar>
          <w:left w:w="71" w:type="dxa"/>
          <w:right w:w="71" w:type="dxa"/>
        </w:tblCellMar>
        <w:tblLook w:val="0000" w:firstRow="0" w:lastRow="0" w:firstColumn="0" w:lastColumn="0" w:noHBand="0" w:noVBand="0"/>
      </w:tblPr>
      <w:tblGrid>
        <w:gridCol w:w="4785"/>
        <w:gridCol w:w="211"/>
        <w:gridCol w:w="4784"/>
      </w:tblGrid>
      <w:tr w:rsidR="00A02EB4" w:rsidRPr="00B937A0" w:rsidTr="00C177AF">
        <w:trPr>
          <w:trHeight w:val="81"/>
        </w:trPr>
        <w:tc>
          <w:tcPr>
            <w:tcW w:w="2446" w:type="pct"/>
            <w:tcBorders>
              <w:bottom w:val="single" w:sz="8" w:space="0" w:color="0000FF"/>
            </w:tcBorders>
          </w:tcPr>
          <w:p w:rsidR="00A02EB4" w:rsidRPr="000D7640" w:rsidRDefault="00A02EB4" w:rsidP="000D7640">
            <w:pPr>
              <w:pStyle w:val="testo2"/>
              <w:widowControl/>
              <w:suppressAutoHyphens/>
              <w:spacing w:before="0" w:line="240" w:lineRule="auto"/>
              <w:jc w:val="left"/>
              <w:rPr>
                <w:rFonts w:asciiTheme="minorHAnsi" w:hAnsiTheme="minorHAnsi" w:cstheme="minorHAnsi"/>
                <w:b/>
                <w:sz w:val="20"/>
                <w:szCs w:val="18"/>
              </w:rPr>
            </w:pPr>
            <w:r w:rsidRPr="000D7640">
              <w:rPr>
                <w:rFonts w:asciiTheme="minorHAnsi" w:hAnsiTheme="minorHAnsi" w:cstheme="minorHAnsi"/>
                <w:b/>
                <w:sz w:val="20"/>
                <w:szCs w:val="18"/>
              </w:rPr>
              <w:t>Figura 1</w:t>
            </w:r>
          </w:p>
          <w:p w:rsidR="00A02EB4" w:rsidRPr="00B937A0" w:rsidRDefault="00A02EB4" w:rsidP="00C177AF">
            <w:pPr>
              <w:widowControl w:val="0"/>
              <w:suppressAutoHyphens/>
              <w:spacing w:after="60"/>
              <w:jc w:val="center"/>
              <w:rPr>
                <w:rFonts w:asciiTheme="minorHAnsi" w:hAnsiTheme="minorHAnsi" w:cstheme="minorHAnsi"/>
                <w:b/>
                <w:color w:val="0000FF"/>
                <w:sz w:val="20"/>
                <w:szCs w:val="18"/>
              </w:rPr>
            </w:pPr>
            <w:r w:rsidRPr="00B937A0">
              <w:rPr>
                <w:rFonts w:asciiTheme="minorHAnsi" w:hAnsiTheme="minorHAnsi" w:cstheme="minorHAnsi"/>
                <w:b/>
                <w:color w:val="0000FF"/>
                <w:sz w:val="20"/>
                <w:szCs w:val="18"/>
              </w:rPr>
              <w:t>Manifestazioni di interesse all’acquisto</w:t>
            </w:r>
            <w:r w:rsidRPr="00B937A0">
              <w:rPr>
                <w:rFonts w:asciiTheme="minorHAnsi" w:hAnsiTheme="minorHAnsi" w:cstheme="minorHAnsi"/>
                <w:b/>
                <w:color w:val="0000FF"/>
                <w:sz w:val="20"/>
                <w:szCs w:val="18"/>
              </w:rPr>
              <w:br/>
              <w:t>delle famiglie nei prossimi 12 mesi</w:t>
            </w:r>
          </w:p>
        </w:tc>
        <w:tc>
          <w:tcPr>
            <w:tcW w:w="108" w:type="pct"/>
          </w:tcPr>
          <w:p w:rsidR="00A02EB4" w:rsidRPr="00B937A0" w:rsidRDefault="00A02EB4" w:rsidP="00C177AF">
            <w:pPr>
              <w:pStyle w:val="testo2"/>
              <w:widowControl/>
              <w:suppressAutoHyphens/>
              <w:spacing w:before="0" w:line="240" w:lineRule="auto"/>
              <w:jc w:val="right"/>
              <w:rPr>
                <w:rFonts w:asciiTheme="minorHAnsi" w:hAnsiTheme="minorHAnsi" w:cstheme="minorHAnsi"/>
                <w:sz w:val="20"/>
                <w:szCs w:val="18"/>
              </w:rPr>
            </w:pPr>
          </w:p>
        </w:tc>
        <w:tc>
          <w:tcPr>
            <w:tcW w:w="2446" w:type="pct"/>
            <w:tcBorders>
              <w:bottom w:val="single" w:sz="8" w:space="0" w:color="0000FF"/>
            </w:tcBorders>
          </w:tcPr>
          <w:p w:rsidR="00A02EB4" w:rsidRPr="000D7640" w:rsidRDefault="00A02EB4" w:rsidP="000D7640">
            <w:pPr>
              <w:pStyle w:val="testo2"/>
              <w:widowControl/>
              <w:suppressAutoHyphens/>
              <w:spacing w:before="0" w:line="240" w:lineRule="auto"/>
              <w:jc w:val="left"/>
              <w:rPr>
                <w:rFonts w:asciiTheme="minorHAnsi" w:hAnsiTheme="minorHAnsi" w:cstheme="minorHAnsi"/>
                <w:b/>
                <w:sz w:val="20"/>
                <w:szCs w:val="18"/>
              </w:rPr>
            </w:pPr>
            <w:r w:rsidRPr="000D7640">
              <w:rPr>
                <w:rFonts w:asciiTheme="minorHAnsi" w:hAnsiTheme="minorHAnsi" w:cstheme="minorHAnsi"/>
                <w:b/>
                <w:sz w:val="20"/>
                <w:szCs w:val="18"/>
              </w:rPr>
              <w:t>Figura 2</w:t>
            </w:r>
          </w:p>
          <w:p w:rsidR="00A02EB4" w:rsidRPr="00B937A0" w:rsidRDefault="00A02EB4" w:rsidP="00C177AF">
            <w:pPr>
              <w:widowControl w:val="0"/>
              <w:suppressAutoHyphens/>
              <w:spacing w:after="60"/>
              <w:jc w:val="center"/>
              <w:rPr>
                <w:rFonts w:asciiTheme="minorHAnsi" w:hAnsiTheme="minorHAnsi" w:cstheme="minorHAnsi"/>
                <w:b/>
                <w:color w:val="0000FF"/>
                <w:sz w:val="20"/>
                <w:szCs w:val="18"/>
              </w:rPr>
            </w:pPr>
            <w:r w:rsidRPr="00B937A0">
              <w:rPr>
                <w:rFonts w:asciiTheme="minorHAnsi" w:hAnsiTheme="minorHAnsi" w:cstheme="minorHAnsi"/>
                <w:b/>
                <w:color w:val="0000FF"/>
                <w:sz w:val="20"/>
                <w:szCs w:val="18"/>
              </w:rPr>
              <w:t>Tipologia di utilizzo da parte di chi manifesta interesse all’acquisto di un'abitazione nei prossimi 12 mesi</w:t>
            </w:r>
          </w:p>
        </w:tc>
      </w:tr>
      <w:tr w:rsidR="00A02EB4" w:rsidRPr="00B937A0" w:rsidTr="00C177AF">
        <w:trPr>
          <w:trHeight w:val="227"/>
        </w:trPr>
        <w:tc>
          <w:tcPr>
            <w:tcW w:w="2446" w:type="pct"/>
            <w:tcBorders>
              <w:top w:val="single" w:sz="8" w:space="0" w:color="0000FF"/>
              <w:bottom w:val="single" w:sz="8" w:space="0" w:color="0000FF"/>
            </w:tcBorders>
            <w:vAlign w:val="center"/>
          </w:tcPr>
          <w:p w:rsidR="00A02EB4" w:rsidRPr="00B937A0" w:rsidRDefault="0061393C" w:rsidP="006344E1">
            <w:pPr>
              <w:suppressAutoHyphens/>
              <w:spacing w:before="40" w:after="40"/>
              <w:jc w:val="center"/>
              <w:rPr>
                <w:rFonts w:asciiTheme="minorHAnsi" w:hAnsiTheme="minorHAnsi" w:cstheme="minorHAnsi"/>
                <w:sz w:val="20"/>
              </w:rPr>
            </w:pPr>
            <w:r>
              <w:rPr>
                <w:rFonts w:asciiTheme="minorHAnsi" w:hAnsiTheme="minorHAnsi" w:cstheme="minorHAnsi"/>
                <w:noProof/>
                <w:sz w:val="20"/>
              </w:rPr>
              <w:drawing>
                <wp:inline distT="0" distB="0" distL="0" distR="0">
                  <wp:extent cx="2406015" cy="156781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015" cy="1567815"/>
                          </a:xfrm>
                          <a:prstGeom prst="rect">
                            <a:avLst/>
                          </a:prstGeom>
                          <a:noFill/>
                          <a:ln>
                            <a:noFill/>
                          </a:ln>
                        </pic:spPr>
                      </pic:pic>
                    </a:graphicData>
                  </a:graphic>
                </wp:inline>
              </w:drawing>
            </w:r>
          </w:p>
        </w:tc>
        <w:tc>
          <w:tcPr>
            <w:tcW w:w="108" w:type="pct"/>
            <w:vAlign w:val="center"/>
          </w:tcPr>
          <w:p w:rsidR="00A02EB4" w:rsidRPr="00B937A0" w:rsidRDefault="00A02EB4" w:rsidP="00C177AF">
            <w:pPr>
              <w:suppressAutoHyphens/>
              <w:spacing w:before="20" w:after="20"/>
              <w:jc w:val="center"/>
              <w:rPr>
                <w:rFonts w:asciiTheme="minorHAnsi" w:hAnsiTheme="minorHAnsi" w:cstheme="minorHAnsi"/>
                <w:sz w:val="20"/>
              </w:rPr>
            </w:pPr>
          </w:p>
        </w:tc>
        <w:tc>
          <w:tcPr>
            <w:tcW w:w="2446" w:type="pct"/>
            <w:tcBorders>
              <w:top w:val="single" w:sz="8" w:space="0" w:color="0000FF"/>
              <w:bottom w:val="single" w:sz="8" w:space="0" w:color="0000FF"/>
            </w:tcBorders>
            <w:vAlign w:val="center"/>
          </w:tcPr>
          <w:p w:rsidR="00A02EB4" w:rsidRPr="00B937A0" w:rsidRDefault="00514FB7" w:rsidP="006344E1">
            <w:pPr>
              <w:suppressAutoHyphens/>
              <w:spacing w:before="40" w:after="40"/>
              <w:jc w:val="center"/>
              <w:rPr>
                <w:rFonts w:asciiTheme="minorHAnsi" w:hAnsiTheme="minorHAnsi" w:cstheme="minorHAnsi"/>
                <w:sz w:val="20"/>
              </w:rPr>
            </w:pPr>
            <w:r>
              <w:rPr>
                <w:rFonts w:asciiTheme="minorHAnsi" w:hAnsiTheme="minorHAnsi" w:cstheme="minorHAnsi"/>
                <w:noProof/>
                <w:sz w:val="20"/>
              </w:rPr>
              <w:drawing>
                <wp:inline distT="0" distB="0" distL="0" distR="0">
                  <wp:extent cx="2406015" cy="156781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6015" cy="1567815"/>
                          </a:xfrm>
                          <a:prstGeom prst="rect">
                            <a:avLst/>
                          </a:prstGeom>
                          <a:noFill/>
                          <a:ln>
                            <a:noFill/>
                          </a:ln>
                        </pic:spPr>
                      </pic:pic>
                    </a:graphicData>
                  </a:graphic>
                </wp:inline>
              </w:drawing>
            </w:r>
          </w:p>
        </w:tc>
      </w:tr>
      <w:tr w:rsidR="00A02EB4" w:rsidRPr="00B937A0" w:rsidTr="00C177AF">
        <w:trPr>
          <w:trHeight w:val="78"/>
        </w:trPr>
        <w:tc>
          <w:tcPr>
            <w:tcW w:w="2446" w:type="pct"/>
            <w:tcBorders>
              <w:top w:val="single" w:sz="8" w:space="0" w:color="0000FF"/>
            </w:tcBorders>
          </w:tcPr>
          <w:p w:rsidR="00A02EB4" w:rsidRPr="00B937A0" w:rsidRDefault="00A02EB4" w:rsidP="00C177AF">
            <w:pPr>
              <w:suppressAutoHyphens/>
              <w:spacing w:before="60"/>
              <w:rPr>
                <w:rFonts w:asciiTheme="minorHAnsi" w:hAnsiTheme="minorHAnsi" w:cstheme="minorHAnsi"/>
                <w:b/>
                <w:bCs/>
                <w:sz w:val="18"/>
                <w:szCs w:val="18"/>
              </w:rPr>
            </w:pPr>
            <w:r w:rsidRPr="00B937A0">
              <w:rPr>
                <w:rFonts w:asciiTheme="minorHAnsi" w:hAnsiTheme="minorHAnsi" w:cstheme="minorHAnsi"/>
                <w:noProof/>
                <w:sz w:val="18"/>
                <w:szCs w:val="18"/>
              </w:rPr>
              <w:t>Fonte: Nomisma, Indagine famiglie 2015</w:t>
            </w:r>
          </w:p>
        </w:tc>
        <w:tc>
          <w:tcPr>
            <w:tcW w:w="108" w:type="pct"/>
          </w:tcPr>
          <w:p w:rsidR="00A02EB4" w:rsidRPr="00B937A0" w:rsidRDefault="00A02EB4" w:rsidP="00C177AF">
            <w:pPr>
              <w:suppressAutoHyphens/>
              <w:spacing w:before="60"/>
              <w:rPr>
                <w:rFonts w:asciiTheme="minorHAnsi" w:hAnsiTheme="minorHAnsi" w:cstheme="minorHAnsi"/>
                <w:noProof/>
                <w:sz w:val="18"/>
                <w:szCs w:val="18"/>
              </w:rPr>
            </w:pPr>
          </w:p>
        </w:tc>
        <w:tc>
          <w:tcPr>
            <w:tcW w:w="2446" w:type="pct"/>
            <w:tcBorders>
              <w:top w:val="single" w:sz="8" w:space="0" w:color="0000FF"/>
            </w:tcBorders>
          </w:tcPr>
          <w:p w:rsidR="00A02EB4" w:rsidRPr="00B937A0" w:rsidRDefault="00A02EB4" w:rsidP="00C177AF">
            <w:pPr>
              <w:suppressAutoHyphens/>
              <w:spacing w:before="60"/>
              <w:rPr>
                <w:rFonts w:asciiTheme="minorHAnsi" w:hAnsiTheme="minorHAnsi" w:cstheme="minorHAnsi"/>
                <w:noProof/>
                <w:sz w:val="18"/>
                <w:szCs w:val="18"/>
              </w:rPr>
            </w:pPr>
            <w:r w:rsidRPr="00B937A0">
              <w:rPr>
                <w:rFonts w:asciiTheme="minorHAnsi" w:hAnsiTheme="minorHAnsi" w:cstheme="minorHAnsi"/>
                <w:noProof/>
                <w:sz w:val="18"/>
                <w:szCs w:val="18"/>
              </w:rPr>
              <w:t>Fonte: Nomisma, Indagine famiglie 2015</w:t>
            </w:r>
          </w:p>
        </w:tc>
      </w:tr>
    </w:tbl>
    <w:p w:rsidR="00A02EB4" w:rsidRPr="00624E7E" w:rsidRDefault="00A02EB4" w:rsidP="00A02EB4">
      <w:pPr>
        <w:pStyle w:val="Default"/>
        <w:jc w:val="both"/>
        <w:rPr>
          <w:rFonts w:asciiTheme="minorHAnsi" w:hAnsiTheme="minorHAnsi"/>
          <w:sz w:val="22"/>
        </w:rPr>
      </w:pPr>
    </w:p>
    <w:p w:rsidR="00A02EB4" w:rsidRDefault="00A02EB4" w:rsidP="00A02EB4">
      <w:pPr>
        <w:pStyle w:val="Default"/>
        <w:jc w:val="both"/>
        <w:rPr>
          <w:rFonts w:asciiTheme="minorHAnsi" w:hAnsiTheme="minorHAnsi"/>
          <w:sz w:val="22"/>
        </w:rPr>
      </w:pPr>
      <w:r w:rsidRPr="00624E7E">
        <w:rPr>
          <w:rFonts w:asciiTheme="minorHAnsi" w:hAnsiTheme="minorHAnsi"/>
          <w:sz w:val="22"/>
        </w:rPr>
        <w:t>Va affacciandosi sul mercato una domanda composita, in parte minoritaria solvibile e nelle condizioni di cogliere le opportunità scaturite dalla crisi senza il bisogno di ricorrere a sostegni esterni e, in parte ampiamente prevalente, indebolita dalla recessione e talmente precaria dal punto di vista delle prospettive da non poter prescindere dal ricorso a forme di sostegno.</w:t>
      </w:r>
    </w:p>
    <w:p w:rsidR="00A02EB4" w:rsidRDefault="00A02EB4" w:rsidP="00A02EB4">
      <w:pPr>
        <w:spacing w:after="200" w:line="276" w:lineRule="auto"/>
        <w:jc w:val="left"/>
        <w:rPr>
          <w:rFonts w:asciiTheme="minorHAnsi" w:eastAsiaTheme="minorHAnsi" w:hAnsiTheme="minorHAnsi" w:cs="Calibri"/>
          <w:color w:val="000000"/>
          <w:sz w:val="22"/>
          <w:szCs w:val="24"/>
          <w:lang w:eastAsia="en-US"/>
        </w:rPr>
      </w:pPr>
      <w:r>
        <w:rPr>
          <w:rFonts w:asciiTheme="minorHAnsi" w:hAnsiTheme="minorHAnsi"/>
          <w:sz w:val="22"/>
        </w:rPr>
        <w:br w:type="page"/>
      </w:r>
    </w:p>
    <w:tbl>
      <w:tblPr>
        <w:tblW w:w="5000" w:type="pct"/>
        <w:tblCellMar>
          <w:left w:w="71" w:type="dxa"/>
          <w:right w:w="71" w:type="dxa"/>
        </w:tblCellMar>
        <w:tblLook w:val="0000" w:firstRow="0" w:lastRow="0" w:firstColumn="0" w:lastColumn="0" w:noHBand="0" w:noVBand="0"/>
      </w:tblPr>
      <w:tblGrid>
        <w:gridCol w:w="4785"/>
        <w:gridCol w:w="211"/>
        <w:gridCol w:w="4784"/>
      </w:tblGrid>
      <w:tr w:rsidR="00A02EB4" w:rsidRPr="00B937A0" w:rsidTr="00C177AF">
        <w:trPr>
          <w:trHeight w:val="81"/>
        </w:trPr>
        <w:tc>
          <w:tcPr>
            <w:tcW w:w="2446" w:type="pct"/>
            <w:tcBorders>
              <w:bottom w:val="single" w:sz="8" w:space="0" w:color="0000FF"/>
            </w:tcBorders>
          </w:tcPr>
          <w:p w:rsidR="00A02EB4" w:rsidRPr="000D7640" w:rsidRDefault="00A02EB4" w:rsidP="000D7640">
            <w:pPr>
              <w:pStyle w:val="testo2"/>
              <w:widowControl/>
              <w:suppressAutoHyphens/>
              <w:spacing w:before="0" w:line="240" w:lineRule="auto"/>
              <w:jc w:val="left"/>
              <w:rPr>
                <w:rFonts w:asciiTheme="minorHAnsi" w:hAnsiTheme="minorHAnsi" w:cstheme="minorHAnsi"/>
                <w:b/>
                <w:sz w:val="20"/>
                <w:szCs w:val="18"/>
              </w:rPr>
            </w:pPr>
            <w:r w:rsidRPr="000D7640">
              <w:rPr>
                <w:rFonts w:asciiTheme="minorHAnsi" w:hAnsiTheme="minorHAnsi" w:cstheme="minorHAnsi"/>
                <w:b/>
                <w:sz w:val="20"/>
                <w:szCs w:val="18"/>
              </w:rPr>
              <w:t>Figura 3</w:t>
            </w:r>
          </w:p>
          <w:p w:rsidR="00A02EB4" w:rsidRPr="00B937A0" w:rsidRDefault="00A02EB4" w:rsidP="00C177AF">
            <w:pPr>
              <w:widowControl w:val="0"/>
              <w:suppressAutoHyphens/>
              <w:spacing w:after="60"/>
              <w:jc w:val="center"/>
              <w:rPr>
                <w:rFonts w:asciiTheme="minorHAnsi" w:hAnsiTheme="minorHAnsi" w:cstheme="minorHAnsi"/>
                <w:b/>
                <w:color w:val="0000FF"/>
                <w:sz w:val="20"/>
                <w:szCs w:val="18"/>
              </w:rPr>
            </w:pPr>
            <w:r w:rsidRPr="00B937A0">
              <w:rPr>
                <w:rFonts w:asciiTheme="minorHAnsi" w:hAnsiTheme="minorHAnsi" w:cstheme="minorHAnsi"/>
                <w:b/>
                <w:color w:val="0000FF"/>
                <w:sz w:val="20"/>
                <w:szCs w:val="18"/>
              </w:rPr>
              <w:t>Intenzione di accendere un mutuo per le famiglie che manifestano interesse all’acquisto di un'abitazione nei prossimi 12 mesi</w:t>
            </w:r>
          </w:p>
        </w:tc>
        <w:tc>
          <w:tcPr>
            <w:tcW w:w="108" w:type="pct"/>
          </w:tcPr>
          <w:p w:rsidR="00A02EB4" w:rsidRPr="00B937A0" w:rsidRDefault="00A02EB4" w:rsidP="00C177AF">
            <w:pPr>
              <w:pStyle w:val="testo2"/>
              <w:widowControl/>
              <w:suppressAutoHyphens/>
              <w:spacing w:before="0" w:line="240" w:lineRule="auto"/>
              <w:jc w:val="right"/>
              <w:rPr>
                <w:rFonts w:asciiTheme="minorHAnsi" w:hAnsiTheme="minorHAnsi" w:cstheme="minorHAnsi"/>
                <w:sz w:val="20"/>
                <w:szCs w:val="18"/>
              </w:rPr>
            </w:pPr>
          </w:p>
        </w:tc>
        <w:tc>
          <w:tcPr>
            <w:tcW w:w="2446" w:type="pct"/>
            <w:tcBorders>
              <w:bottom w:val="single" w:sz="8" w:space="0" w:color="0000FF"/>
            </w:tcBorders>
          </w:tcPr>
          <w:p w:rsidR="00A02EB4" w:rsidRPr="000D7640" w:rsidRDefault="00A02EB4" w:rsidP="000D7640">
            <w:pPr>
              <w:pStyle w:val="testo2"/>
              <w:widowControl/>
              <w:suppressAutoHyphens/>
              <w:spacing w:before="0" w:line="240" w:lineRule="auto"/>
              <w:jc w:val="left"/>
              <w:rPr>
                <w:rFonts w:asciiTheme="minorHAnsi" w:hAnsiTheme="minorHAnsi" w:cstheme="minorHAnsi"/>
                <w:b/>
                <w:sz w:val="20"/>
                <w:szCs w:val="18"/>
              </w:rPr>
            </w:pPr>
            <w:r w:rsidRPr="000D7640">
              <w:rPr>
                <w:rFonts w:asciiTheme="minorHAnsi" w:hAnsiTheme="minorHAnsi" w:cstheme="minorHAnsi"/>
                <w:b/>
                <w:sz w:val="20"/>
                <w:szCs w:val="18"/>
              </w:rPr>
              <w:t>Figura 4</w:t>
            </w:r>
          </w:p>
          <w:p w:rsidR="00A02EB4" w:rsidRPr="00B937A0" w:rsidRDefault="00A02EB4" w:rsidP="00C177AF">
            <w:pPr>
              <w:widowControl w:val="0"/>
              <w:suppressAutoHyphens/>
              <w:spacing w:after="60"/>
              <w:jc w:val="center"/>
              <w:rPr>
                <w:rFonts w:asciiTheme="minorHAnsi" w:hAnsiTheme="minorHAnsi" w:cstheme="minorHAnsi"/>
                <w:b/>
                <w:color w:val="0000FF"/>
                <w:sz w:val="20"/>
                <w:szCs w:val="18"/>
              </w:rPr>
            </w:pPr>
            <w:r w:rsidRPr="00B937A0">
              <w:rPr>
                <w:rFonts w:asciiTheme="minorHAnsi" w:hAnsiTheme="minorHAnsi" w:cstheme="minorHAnsi"/>
                <w:b/>
                <w:color w:val="0000FF"/>
                <w:sz w:val="20"/>
                <w:szCs w:val="18"/>
              </w:rPr>
              <w:t>Andamento della domanda di mutui dal 2009</w:t>
            </w:r>
            <w:r w:rsidRPr="00B937A0">
              <w:rPr>
                <w:rFonts w:asciiTheme="minorHAnsi" w:hAnsiTheme="minorHAnsi" w:cstheme="minorHAnsi"/>
                <w:b/>
                <w:color w:val="0000FF"/>
                <w:sz w:val="20"/>
                <w:szCs w:val="18"/>
              </w:rPr>
              <w:br/>
              <w:t xml:space="preserve">al 2015 </w:t>
            </w:r>
            <w:r w:rsidRPr="00417FBE">
              <w:rPr>
                <w:rFonts w:asciiTheme="minorHAnsi" w:hAnsiTheme="minorHAnsi" w:cstheme="minorHAnsi"/>
                <w:i/>
                <w:color w:val="0000FF"/>
                <w:sz w:val="18"/>
                <w:szCs w:val="18"/>
              </w:rPr>
              <w:t>(variazione % su anno precedente; domanda ponderata sui giorni lavorativi)</w:t>
            </w:r>
          </w:p>
        </w:tc>
      </w:tr>
      <w:tr w:rsidR="00A02EB4" w:rsidRPr="00687AA5" w:rsidTr="00C177AF">
        <w:trPr>
          <w:trHeight w:val="227"/>
        </w:trPr>
        <w:tc>
          <w:tcPr>
            <w:tcW w:w="2446" w:type="pct"/>
            <w:tcBorders>
              <w:top w:val="single" w:sz="8" w:space="0" w:color="0000FF"/>
              <w:bottom w:val="single" w:sz="8" w:space="0" w:color="0000FF"/>
            </w:tcBorders>
            <w:vAlign w:val="center"/>
          </w:tcPr>
          <w:p w:rsidR="00A02EB4" w:rsidRPr="00B937A0" w:rsidRDefault="00514FB7" w:rsidP="006344E1">
            <w:pPr>
              <w:suppressAutoHyphens/>
              <w:spacing w:before="40" w:after="40"/>
              <w:jc w:val="center"/>
              <w:rPr>
                <w:rFonts w:asciiTheme="minorHAnsi" w:hAnsiTheme="minorHAnsi" w:cstheme="minorHAnsi"/>
                <w:sz w:val="20"/>
              </w:rPr>
            </w:pPr>
            <w:r>
              <w:rPr>
                <w:rFonts w:asciiTheme="minorHAnsi" w:hAnsiTheme="minorHAnsi" w:cstheme="minorHAnsi"/>
                <w:noProof/>
                <w:sz w:val="20"/>
              </w:rPr>
              <w:drawing>
                <wp:inline distT="0" distB="0" distL="0" distR="0">
                  <wp:extent cx="2406015" cy="156781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6015" cy="1567815"/>
                          </a:xfrm>
                          <a:prstGeom prst="rect">
                            <a:avLst/>
                          </a:prstGeom>
                          <a:noFill/>
                          <a:ln>
                            <a:noFill/>
                          </a:ln>
                        </pic:spPr>
                      </pic:pic>
                    </a:graphicData>
                  </a:graphic>
                </wp:inline>
              </w:drawing>
            </w:r>
          </w:p>
        </w:tc>
        <w:tc>
          <w:tcPr>
            <w:tcW w:w="108" w:type="pct"/>
            <w:vAlign w:val="center"/>
          </w:tcPr>
          <w:p w:rsidR="00A02EB4" w:rsidRPr="00B937A0" w:rsidRDefault="00A02EB4" w:rsidP="00C177AF">
            <w:pPr>
              <w:suppressAutoHyphens/>
              <w:spacing w:before="20" w:after="20"/>
              <w:jc w:val="center"/>
              <w:rPr>
                <w:rFonts w:asciiTheme="minorHAnsi" w:hAnsiTheme="minorHAnsi" w:cstheme="minorHAnsi"/>
                <w:sz w:val="20"/>
              </w:rPr>
            </w:pPr>
          </w:p>
        </w:tc>
        <w:tc>
          <w:tcPr>
            <w:tcW w:w="2446" w:type="pct"/>
            <w:tcBorders>
              <w:top w:val="single" w:sz="8" w:space="0" w:color="0000FF"/>
              <w:bottom w:val="single" w:sz="8" w:space="0" w:color="0000FF"/>
            </w:tcBorders>
            <w:vAlign w:val="center"/>
          </w:tcPr>
          <w:p w:rsidR="00A02EB4" w:rsidRPr="00687AA5" w:rsidRDefault="00514FB7" w:rsidP="006344E1">
            <w:pPr>
              <w:suppressAutoHyphens/>
              <w:spacing w:before="40" w:after="40"/>
              <w:jc w:val="center"/>
              <w:rPr>
                <w:rFonts w:asciiTheme="minorHAnsi" w:hAnsiTheme="minorHAnsi" w:cstheme="minorHAnsi"/>
                <w:sz w:val="8"/>
                <w:szCs w:val="8"/>
              </w:rPr>
            </w:pPr>
            <w:r>
              <w:rPr>
                <w:rFonts w:asciiTheme="minorHAnsi" w:hAnsiTheme="minorHAnsi" w:cstheme="minorHAnsi"/>
                <w:noProof/>
                <w:sz w:val="8"/>
                <w:szCs w:val="8"/>
              </w:rPr>
              <w:drawing>
                <wp:inline distT="0" distB="0" distL="0" distR="0">
                  <wp:extent cx="2406015" cy="156781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6015" cy="1567815"/>
                          </a:xfrm>
                          <a:prstGeom prst="rect">
                            <a:avLst/>
                          </a:prstGeom>
                          <a:noFill/>
                          <a:ln>
                            <a:noFill/>
                          </a:ln>
                        </pic:spPr>
                      </pic:pic>
                    </a:graphicData>
                  </a:graphic>
                </wp:inline>
              </w:drawing>
            </w:r>
          </w:p>
        </w:tc>
      </w:tr>
      <w:tr w:rsidR="00A02EB4" w:rsidRPr="00B937A0" w:rsidTr="00C177AF">
        <w:trPr>
          <w:trHeight w:val="78"/>
        </w:trPr>
        <w:tc>
          <w:tcPr>
            <w:tcW w:w="2446" w:type="pct"/>
            <w:tcBorders>
              <w:top w:val="single" w:sz="8" w:space="0" w:color="0000FF"/>
            </w:tcBorders>
          </w:tcPr>
          <w:p w:rsidR="00A02EB4" w:rsidRPr="00B937A0" w:rsidRDefault="00A02EB4" w:rsidP="00C177AF">
            <w:pPr>
              <w:suppressAutoHyphens/>
              <w:spacing w:before="60"/>
              <w:rPr>
                <w:rFonts w:asciiTheme="minorHAnsi" w:hAnsiTheme="minorHAnsi" w:cstheme="minorHAnsi"/>
                <w:b/>
                <w:bCs/>
                <w:sz w:val="18"/>
                <w:szCs w:val="18"/>
              </w:rPr>
            </w:pPr>
            <w:r w:rsidRPr="00B937A0">
              <w:rPr>
                <w:rFonts w:asciiTheme="minorHAnsi" w:hAnsiTheme="minorHAnsi" w:cstheme="minorHAnsi"/>
                <w:noProof/>
                <w:sz w:val="18"/>
                <w:szCs w:val="18"/>
              </w:rPr>
              <w:t>Fonte: Nomisma, Indagine famiglie 2015</w:t>
            </w:r>
          </w:p>
        </w:tc>
        <w:tc>
          <w:tcPr>
            <w:tcW w:w="108" w:type="pct"/>
          </w:tcPr>
          <w:p w:rsidR="00A02EB4" w:rsidRPr="00B937A0" w:rsidRDefault="00A02EB4" w:rsidP="00C177AF">
            <w:pPr>
              <w:suppressAutoHyphens/>
              <w:spacing w:before="60"/>
              <w:rPr>
                <w:rFonts w:asciiTheme="minorHAnsi" w:hAnsiTheme="minorHAnsi" w:cstheme="minorHAnsi"/>
                <w:noProof/>
                <w:sz w:val="18"/>
                <w:szCs w:val="18"/>
              </w:rPr>
            </w:pPr>
          </w:p>
        </w:tc>
        <w:tc>
          <w:tcPr>
            <w:tcW w:w="2446" w:type="pct"/>
            <w:tcBorders>
              <w:top w:val="single" w:sz="8" w:space="0" w:color="0000FF"/>
            </w:tcBorders>
          </w:tcPr>
          <w:p w:rsidR="00A02EB4" w:rsidRPr="00B937A0" w:rsidRDefault="00A02EB4" w:rsidP="00C177AF">
            <w:pPr>
              <w:suppressAutoHyphens/>
              <w:spacing w:before="60"/>
              <w:rPr>
                <w:rFonts w:asciiTheme="minorHAnsi" w:hAnsiTheme="minorHAnsi" w:cstheme="minorHAnsi"/>
                <w:noProof/>
                <w:sz w:val="18"/>
                <w:szCs w:val="18"/>
              </w:rPr>
            </w:pPr>
            <w:r w:rsidRPr="00B937A0">
              <w:rPr>
                <w:rFonts w:asciiTheme="minorHAnsi" w:hAnsiTheme="minorHAnsi" w:cstheme="minorHAnsi"/>
                <w:noProof/>
                <w:sz w:val="18"/>
                <w:szCs w:val="18"/>
              </w:rPr>
              <w:t>Fonte: CRIF</w:t>
            </w:r>
          </w:p>
        </w:tc>
      </w:tr>
    </w:tbl>
    <w:p w:rsidR="00A02EB4" w:rsidRPr="00624E7E" w:rsidRDefault="00A02EB4" w:rsidP="00A02EB4">
      <w:pPr>
        <w:pStyle w:val="Default"/>
        <w:jc w:val="both"/>
        <w:rPr>
          <w:rFonts w:asciiTheme="minorHAnsi" w:hAnsiTheme="minorHAnsi"/>
          <w:sz w:val="22"/>
          <w:szCs w:val="22"/>
        </w:rPr>
      </w:pPr>
    </w:p>
    <w:p w:rsidR="00A02EB4" w:rsidRPr="00624E7E" w:rsidRDefault="00A02EB4" w:rsidP="00A02EB4">
      <w:pPr>
        <w:pStyle w:val="Default"/>
        <w:jc w:val="both"/>
        <w:rPr>
          <w:rFonts w:asciiTheme="minorHAnsi" w:hAnsiTheme="minorHAnsi"/>
          <w:sz w:val="22"/>
          <w:szCs w:val="22"/>
        </w:rPr>
      </w:pPr>
      <w:r w:rsidRPr="00624E7E">
        <w:rPr>
          <w:rFonts w:asciiTheme="minorHAnsi" w:hAnsiTheme="minorHAnsi"/>
          <w:sz w:val="22"/>
          <w:szCs w:val="22"/>
        </w:rPr>
        <w:t>È, dunque, dalla disponibilità del sistema bancario ad accettare la scommessa sulle capacità di rimborso dei richiedenti o, in caso di default, di copertura del debito da parte delle garanzie immobiliari, che dipendono le possibilità di rilancio del settore. A tal proposito</w:t>
      </w:r>
      <w:r>
        <w:rPr>
          <w:rFonts w:asciiTheme="minorHAnsi" w:hAnsiTheme="minorHAnsi"/>
          <w:sz w:val="22"/>
          <w:szCs w:val="22"/>
        </w:rPr>
        <w:t>,</w:t>
      </w:r>
      <w:r w:rsidRPr="00624E7E">
        <w:rPr>
          <w:rFonts w:asciiTheme="minorHAnsi" w:hAnsiTheme="minorHAnsi"/>
          <w:sz w:val="22"/>
          <w:szCs w:val="22"/>
        </w:rPr>
        <w:t xml:space="preserve"> i segnali paiono meno netti ed univoci di quanto sarebbe lecito attendersi sulla base delle condizioni praticate e, più in generale, delle intenzioni dichiarate dalla maggior parte degli istituti.</w:t>
      </w:r>
    </w:p>
    <w:p w:rsidR="00A02EB4" w:rsidRPr="00624E7E" w:rsidRDefault="00A02EB4" w:rsidP="00A02EB4">
      <w:pPr>
        <w:pStyle w:val="Default"/>
        <w:jc w:val="both"/>
        <w:rPr>
          <w:rFonts w:asciiTheme="minorHAnsi" w:hAnsiTheme="minorHAnsi"/>
          <w:sz w:val="22"/>
          <w:szCs w:val="22"/>
        </w:rPr>
      </w:pPr>
    </w:p>
    <w:p w:rsidR="00A02EB4" w:rsidRDefault="00A02EB4" w:rsidP="00A02EB4">
      <w:pPr>
        <w:pStyle w:val="Default"/>
        <w:jc w:val="both"/>
        <w:rPr>
          <w:rFonts w:asciiTheme="minorHAnsi" w:hAnsiTheme="minorHAnsi"/>
          <w:sz w:val="22"/>
          <w:szCs w:val="22"/>
        </w:rPr>
      </w:pPr>
      <w:r w:rsidRPr="00624E7E">
        <w:rPr>
          <w:rFonts w:asciiTheme="minorHAnsi" w:hAnsiTheme="minorHAnsi"/>
          <w:sz w:val="22"/>
          <w:szCs w:val="22"/>
        </w:rPr>
        <w:t>Ad ostacolare la capacità di realizzo e, più in generale, le possibilità di ripresa del comparto immobiliare, ha senz’altro contribuito la rigidità dei valori rispetto al cambiamento delle condizioni di contest</w:t>
      </w:r>
      <w:r>
        <w:rPr>
          <w:rFonts w:asciiTheme="minorHAnsi" w:hAnsiTheme="minorHAnsi"/>
          <w:sz w:val="22"/>
          <w:szCs w:val="22"/>
        </w:rPr>
        <w:t>o.</w:t>
      </w:r>
    </w:p>
    <w:p w:rsidR="00A02EB4" w:rsidRDefault="00A02EB4" w:rsidP="00A02EB4">
      <w:pPr>
        <w:pStyle w:val="Default"/>
        <w:jc w:val="both"/>
        <w:rPr>
          <w:rFonts w:asciiTheme="minorHAnsi" w:hAnsiTheme="minorHAnsi"/>
          <w:sz w:val="22"/>
          <w:szCs w:val="22"/>
        </w:rPr>
      </w:pPr>
      <w:r w:rsidRPr="00624E7E">
        <w:rPr>
          <w:rFonts w:asciiTheme="minorHAnsi" w:hAnsiTheme="minorHAnsi"/>
          <w:sz w:val="22"/>
          <w:szCs w:val="22"/>
        </w:rPr>
        <w:t>Lo sfasamento temporale con cui i prezzi hanno inaugurato la parabola discendente</w:t>
      </w:r>
      <w:r>
        <w:rPr>
          <w:rFonts w:asciiTheme="minorHAnsi" w:hAnsiTheme="minorHAnsi"/>
          <w:sz w:val="22"/>
          <w:szCs w:val="22"/>
        </w:rPr>
        <w:t>,</w:t>
      </w:r>
      <w:r w:rsidRPr="00624E7E">
        <w:rPr>
          <w:rFonts w:asciiTheme="minorHAnsi" w:hAnsiTheme="minorHAnsi"/>
          <w:sz w:val="22"/>
          <w:szCs w:val="22"/>
        </w:rPr>
        <w:t xml:space="preserve"> rispetto all’esordio della fase negativa sul versante delle compravendite</w:t>
      </w:r>
      <w:r>
        <w:rPr>
          <w:rFonts w:asciiTheme="minorHAnsi" w:hAnsiTheme="minorHAnsi"/>
          <w:sz w:val="22"/>
          <w:szCs w:val="22"/>
        </w:rPr>
        <w:t>,</w:t>
      </w:r>
      <w:r w:rsidRPr="00624E7E">
        <w:rPr>
          <w:rFonts w:asciiTheme="minorHAnsi" w:hAnsiTheme="minorHAnsi"/>
          <w:sz w:val="22"/>
          <w:szCs w:val="22"/>
        </w:rPr>
        <w:t xml:space="preserve"> ha finito per </w:t>
      </w:r>
      <w:r>
        <w:rPr>
          <w:rFonts w:asciiTheme="minorHAnsi" w:hAnsiTheme="minorHAnsi"/>
          <w:sz w:val="22"/>
          <w:szCs w:val="22"/>
        </w:rPr>
        <w:t>ampliare l’orizzonte recessivo.</w:t>
      </w:r>
    </w:p>
    <w:p w:rsidR="00A02EB4" w:rsidRPr="00624E7E" w:rsidRDefault="00A02EB4" w:rsidP="00A02EB4">
      <w:pPr>
        <w:pStyle w:val="Default"/>
        <w:jc w:val="both"/>
        <w:rPr>
          <w:rFonts w:asciiTheme="minorHAnsi" w:hAnsiTheme="minorHAnsi"/>
          <w:sz w:val="22"/>
          <w:szCs w:val="22"/>
        </w:rPr>
      </w:pPr>
      <w:r w:rsidRPr="00624E7E">
        <w:rPr>
          <w:rFonts w:asciiTheme="minorHAnsi" w:hAnsiTheme="minorHAnsi"/>
          <w:sz w:val="22"/>
          <w:szCs w:val="22"/>
        </w:rPr>
        <w:t>L’ulteriore flessione registrata nel primo semestre di quest’anno si inserisce, dunque, in un processo di graduale avvicinamento a posizioni di equilibrio, il cui raggiungimento, alla luce delle tendenze rilevate, parrebbe ormai prossimo.</w:t>
      </w:r>
    </w:p>
    <w:p w:rsidR="00A02EB4" w:rsidRPr="00624E7E" w:rsidRDefault="00A02EB4" w:rsidP="00A02EB4">
      <w:pPr>
        <w:suppressAutoHyphens/>
        <w:jc w:val="right"/>
        <w:rPr>
          <w:rFonts w:asciiTheme="minorHAnsi" w:hAnsiTheme="minorHAnsi"/>
          <w:sz w:val="22"/>
          <w:szCs w:val="22"/>
        </w:rPr>
      </w:pPr>
    </w:p>
    <w:p w:rsidR="00A02EB4" w:rsidRPr="000D7640" w:rsidRDefault="00514FB7" w:rsidP="000D7640">
      <w:pPr>
        <w:suppressAutoHyphens/>
        <w:jc w:val="left"/>
        <w:rPr>
          <w:rFonts w:asciiTheme="minorHAnsi" w:hAnsiTheme="minorHAnsi"/>
          <w:b/>
          <w:sz w:val="20"/>
          <w:szCs w:val="22"/>
        </w:rPr>
      </w:pPr>
      <w:r w:rsidRPr="000D7640">
        <w:rPr>
          <w:rFonts w:asciiTheme="minorHAnsi" w:hAnsiTheme="minorHAnsi"/>
          <w:b/>
          <w:sz w:val="20"/>
          <w:szCs w:val="22"/>
        </w:rPr>
        <w:t>Tavola 1</w:t>
      </w:r>
    </w:p>
    <w:p w:rsidR="00A02EB4" w:rsidRPr="00624E7E" w:rsidRDefault="00A02EB4" w:rsidP="00A02EB4">
      <w:pPr>
        <w:suppressAutoHyphens/>
        <w:spacing w:after="60"/>
        <w:jc w:val="center"/>
        <w:rPr>
          <w:rFonts w:asciiTheme="minorHAnsi" w:hAnsiTheme="minorHAnsi"/>
          <w:b/>
          <w:color w:val="0000FF"/>
          <w:sz w:val="20"/>
          <w:szCs w:val="22"/>
        </w:rPr>
      </w:pPr>
      <w:r w:rsidRPr="00624E7E">
        <w:rPr>
          <w:rFonts w:asciiTheme="minorHAnsi" w:hAnsiTheme="minorHAnsi"/>
          <w:b/>
          <w:color w:val="0000FF"/>
          <w:sz w:val="20"/>
          <w:szCs w:val="22"/>
        </w:rPr>
        <w:t xml:space="preserve">13 grandi città – Variazioni semestrali dei prezzi correnti degli immobili </w:t>
      </w:r>
      <w:r w:rsidRPr="00624E7E">
        <w:rPr>
          <w:rFonts w:asciiTheme="minorHAnsi" w:hAnsiTheme="minorHAnsi"/>
          <w:i/>
          <w:color w:val="0000FF"/>
          <w:sz w:val="20"/>
          <w:szCs w:val="22"/>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7"/>
        <w:gridCol w:w="1408"/>
        <w:gridCol w:w="1408"/>
        <w:gridCol w:w="1407"/>
        <w:gridCol w:w="1407"/>
        <w:gridCol w:w="1407"/>
      </w:tblGrid>
      <w:tr w:rsidR="00A02EB4" w:rsidRPr="00B937A0" w:rsidTr="00514FB7">
        <w:trPr>
          <w:trHeight w:val="283"/>
        </w:trPr>
        <w:tc>
          <w:tcPr>
            <w:tcW w:w="1429" w:type="pct"/>
            <w:tcBorders>
              <w:top w:val="single" w:sz="8" w:space="0" w:color="0000FF"/>
              <w:bottom w:val="single" w:sz="8" w:space="0" w:color="0000FF"/>
            </w:tcBorders>
            <w:shd w:val="clear" w:color="auto" w:fill="C6D9F1" w:themeFill="text2" w:themeFillTint="33"/>
            <w:vAlign w:val="center"/>
          </w:tcPr>
          <w:p w:rsidR="00A02EB4" w:rsidRPr="00B937A0" w:rsidRDefault="00A02EB4" w:rsidP="00C177AF">
            <w:pPr>
              <w:suppressAutoHyphens/>
              <w:jc w:val="center"/>
              <w:rPr>
                <w:rFonts w:asciiTheme="minorHAnsi" w:hAnsiTheme="minorHAnsi"/>
                <w:b w:val="0"/>
                <w:sz w:val="18"/>
                <w:szCs w:val="18"/>
              </w:rPr>
            </w:pPr>
          </w:p>
        </w:tc>
        <w:tc>
          <w:tcPr>
            <w:tcW w:w="714" w:type="pct"/>
            <w:tcBorders>
              <w:top w:val="single" w:sz="8" w:space="0" w:color="0000FF"/>
              <w:bottom w:val="single" w:sz="8" w:space="0" w:color="0000FF"/>
            </w:tcBorders>
            <w:shd w:val="clear" w:color="auto" w:fill="C6D9F1" w:themeFill="text2" w:themeFillTint="33"/>
            <w:vAlign w:val="center"/>
          </w:tcPr>
          <w:p w:rsidR="00A02EB4" w:rsidRPr="00624E7E" w:rsidRDefault="00A02EB4" w:rsidP="00C177AF">
            <w:pPr>
              <w:suppressAutoHyphens/>
              <w:jc w:val="center"/>
              <w:rPr>
                <w:rFonts w:asciiTheme="minorHAnsi" w:hAnsiTheme="minorHAnsi"/>
                <w:b w:val="0"/>
                <w:sz w:val="18"/>
                <w:szCs w:val="18"/>
              </w:rPr>
            </w:pPr>
            <w:r w:rsidRPr="00624E7E">
              <w:rPr>
                <w:rFonts w:asciiTheme="minorHAnsi" w:hAnsiTheme="minorHAnsi"/>
                <w:b w:val="0"/>
                <w:sz w:val="18"/>
                <w:szCs w:val="18"/>
              </w:rPr>
              <w:t>I 2013</w:t>
            </w:r>
          </w:p>
        </w:tc>
        <w:tc>
          <w:tcPr>
            <w:tcW w:w="714" w:type="pct"/>
            <w:tcBorders>
              <w:top w:val="single" w:sz="8" w:space="0" w:color="0000FF"/>
              <w:bottom w:val="single" w:sz="8" w:space="0" w:color="0000FF"/>
            </w:tcBorders>
            <w:shd w:val="clear" w:color="auto" w:fill="C6D9F1" w:themeFill="text2" w:themeFillTint="33"/>
            <w:vAlign w:val="center"/>
          </w:tcPr>
          <w:p w:rsidR="00A02EB4" w:rsidRPr="00624E7E" w:rsidRDefault="00A02EB4" w:rsidP="00C177AF">
            <w:pPr>
              <w:suppressAutoHyphens/>
              <w:jc w:val="center"/>
              <w:rPr>
                <w:rFonts w:asciiTheme="minorHAnsi" w:hAnsiTheme="minorHAnsi"/>
                <w:b w:val="0"/>
                <w:sz w:val="18"/>
                <w:szCs w:val="18"/>
              </w:rPr>
            </w:pPr>
            <w:r w:rsidRPr="00624E7E">
              <w:rPr>
                <w:rFonts w:asciiTheme="minorHAnsi" w:hAnsiTheme="minorHAnsi"/>
                <w:b w:val="0"/>
                <w:sz w:val="18"/>
                <w:szCs w:val="18"/>
              </w:rPr>
              <w:t>II 2013</w:t>
            </w:r>
          </w:p>
        </w:tc>
        <w:tc>
          <w:tcPr>
            <w:tcW w:w="714" w:type="pct"/>
            <w:tcBorders>
              <w:top w:val="single" w:sz="8" w:space="0" w:color="0000FF"/>
              <w:bottom w:val="single" w:sz="8" w:space="0" w:color="0000FF"/>
            </w:tcBorders>
            <w:shd w:val="clear" w:color="auto" w:fill="C6D9F1" w:themeFill="text2" w:themeFillTint="33"/>
            <w:vAlign w:val="center"/>
          </w:tcPr>
          <w:p w:rsidR="00A02EB4" w:rsidRPr="00624E7E" w:rsidRDefault="00A02EB4" w:rsidP="00C177AF">
            <w:pPr>
              <w:suppressAutoHyphens/>
              <w:jc w:val="center"/>
              <w:rPr>
                <w:rFonts w:asciiTheme="minorHAnsi" w:hAnsiTheme="minorHAnsi"/>
                <w:b w:val="0"/>
                <w:sz w:val="18"/>
                <w:szCs w:val="18"/>
              </w:rPr>
            </w:pPr>
            <w:r w:rsidRPr="00624E7E">
              <w:rPr>
                <w:rFonts w:asciiTheme="minorHAnsi" w:hAnsiTheme="minorHAnsi"/>
                <w:b w:val="0"/>
                <w:sz w:val="18"/>
                <w:szCs w:val="18"/>
              </w:rPr>
              <w:t>I 2014</w:t>
            </w:r>
          </w:p>
        </w:tc>
        <w:tc>
          <w:tcPr>
            <w:tcW w:w="714" w:type="pct"/>
            <w:tcBorders>
              <w:top w:val="single" w:sz="8" w:space="0" w:color="0000FF"/>
              <w:bottom w:val="single" w:sz="8" w:space="0" w:color="0000FF"/>
            </w:tcBorders>
            <w:shd w:val="clear" w:color="auto" w:fill="C6D9F1" w:themeFill="text2" w:themeFillTint="33"/>
            <w:vAlign w:val="center"/>
          </w:tcPr>
          <w:p w:rsidR="00A02EB4" w:rsidRPr="00624E7E" w:rsidRDefault="00A02EB4" w:rsidP="00C177AF">
            <w:pPr>
              <w:suppressAutoHyphens/>
              <w:jc w:val="center"/>
              <w:rPr>
                <w:rFonts w:asciiTheme="minorHAnsi" w:hAnsiTheme="minorHAnsi"/>
                <w:b w:val="0"/>
                <w:sz w:val="18"/>
                <w:szCs w:val="18"/>
              </w:rPr>
            </w:pPr>
            <w:r w:rsidRPr="00624E7E">
              <w:rPr>
                <w:rFonts w:asciiTheme="minorHAnsi" w:hAnsiTheme="minorHAnsi"/>
                <w:b w:val="0"/>
                <w:sz w:val="18"/>
                <w:szCs w:val="18"/>
              </w:rPr>
              <w:t>II 2014</w:t>
            </w:r>
          </w:p>
        </w:tc>
        <w:tc>
          <w:tcPr>
            <w:tcW w:w="714" w:type="pct"/>
            <w:tcBorders>
              <w:top w:val="single" w:sz="8" w:space="0" w:color="0000FF"/>
              <w:bottom w:val="single" w:sz="8" w:space="0" w:color="0000FF"/>
            </w:tcBorders>
            <w:shd w:val="clear" w:color="auto" w:fill="C6D9F1" w:themeFill="text2" w:themeFillTint="33"/>
            <w:vAlign w:val="center"/>
          </w:tcPr>
          <w:p w:rsidR="00A02EB4" w:rsidRPr="00624E7E" w:rsidRDefault="00A02EB4" w:rsidP="00C177AF">
            <w:pPr>
              <w:suppressAutoHyphens/>
              <w:jc w:val="center"/>
              <w:rPr>
                <w:rFonts w:asciiTheme="minorHAnsi" w:hAnsiTheme="minorHAnsi"/>
                <w:b w:val="0"/>
                <w:sz w:val="18"/>
                <w:szCs w:val="18"/>
              </w:rPr>
            </w:pPr>
            <w:r w:rsidRPr="00624E7E">
              <w:rPr>
                <w:rFonts w:asciiTheme="minorHAnsi" w:hAnsiTheme="minorHAnsi"/>
                <w:b w:val="0"/>
                <w:sz w:val="18"/>
                <w:szCs w:val="18"/>
              </w:rPr>
              <w:t>I 2015</w:t>
            </w:r>
          </w:p>
        </w:tc>
      </w:tr>
      <w:tr w:rsidR="00A02EB4" w:rsidRPr="00B937A0" w:rsidTr="00C177AF">
        <w:trPr>
          <w:trHeight w:val="283"/>
        </w:trPr>
        <w:tc>
          <w:tcPr>
            <w:tcW w:w="1429" w:type="pct"/>
            <w:tcBorders>
              <w:top w:val="single" w:sz="8" w:space="0" w:color="0000FF"/>
            </w:tcBorders>
            <w:vAlign w:val="center"/>
          </w:tcPr>
          <w:p w:rsidR="00A02EB4" w:rsidRPr="00624E7E" w:rsidRDefault="00A02EB4" w:rsidP="00C177AF">
            <w:pPr>
              <w:suppressAutoHyphens/>
              <w:rPr>
                <w:rFonts w:asciiTheme="minorHAnsi" w:hAnsiTheme="minorHAnsi"/>
                <w:b w:val="0"/>
                <w:color w:val="000000"/>
                <w:sz w:val="18"/>
                <w:szCs w:val="18"/>
              </w:rPr>
            </w:pPr>
            <w:r w:rsidRPr="00624E7E">
              <w:rPr>
                <w:rFonts w:asciiTheme="minorHAnsi" w:hAnsiTheme="minorHAnsi"/>
                <w:b w:val="0"/>
                <w:caps w:val="0"/>
                <w:sz w:val="18"/>
                <w:szCs w:val="18"/>
              </w:rPr>
              <w:t>Abitazioni nuove</w:t>
            </w:r>
          </w:p>
        </w:tc>
        <w:tc>
          <w:tcPr>
            <w:tcW w:w="714" w:type="pct"/>
            <w:tcBorders>
              <w:top w:val="single" w:sz="8" w:space="0" w:color="0000FF"/>
            </w:tcBorders>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-2,9</w:t>
            </w:r>
          </w:p>
        </w:tc>
        <w:tc>
          <w:tcPr>
            <w:tcW w:w="714" w:type="pct"/>
            <w:tcBorders>
              <w:top w:val="single" w:sz="8" w:space="0" w:color="0000FF"/>
            </w:tcBorders>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-2,0</w:t>
            </w:r>
          </w:p>
        </w:tc>
        <w:tc>
          <w:tcPr>
            <w:tcW w:w="714" w:type="pct"/>
            <w:tcBorders>
              <w:top w:val="single" w:sz="8" w:space="0" w:color="0000FF"/>
            </w:tcBorders>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-2,2</w:t>
            </w:r>
          </w:p>
        </w:tc>
        <w:tc>
          <w:tcPr>
            <w:tcW w:w="714" w:type="pct"/>
            <w:tcBorders>
              <w:top w:val="single" w:sz="8" w:space="0" w:color="0000FF"/>
            </w:tcBorders>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-1,7</w:t>
            </w:r>
          </w:p>
        </w:tc>
        <w:tc>
          <w:tcPr>
            <w:tcW w:w="714" w:type="pct"/>
            <w:tcBorders>
              <w:top w:val="single" w:sz="8" w:space="0" w:color="0000FF"/>
            </w:tcBorders>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-1,0</w:t>
            </w:r>
          </w:p>
        </w:tc>
      </w:tr>
      <w:tr w:rsidR="00A02EB4" w:rsidRPr="00B937A0" w:rsidTr="00C177AF">
        <w:trPr>
          <w:trHeight w:val="283"/>
        </w:trPr>
        <w:tc>
          <w:tcPr>
            <w:tcW w:w="1429" w:type="pct"/>
            <w:vAlign w:val="center"/>
          </w:tcPr>
          <w:p w:rsidR="00A02EB4" w:rsidRPr="00624E7E" w:rsidRDefault="00A02EB4" w:rsidP="00C177AF">
            <w:pPr>
              <w:suppressAutoHyphens/>
              <w:rPr>
                <w:rFonts w:asciiTheme="minorHAnsi" w:hAnsiTheme="minorHAnsi"/>
                <w:b w:val="0"/>
                <w:color w:val="000000"/>
                <w:sz w:val="18"/>
                <w:szCs w:val="18"/>
              </w:rPr>
            </w:pPr>
            <w:r w:rsidRPr="00624E7E">
              <w:rPr>
                <w:rFonts w:asciiTheme="minorHAnsi" w:hAnsiTheme="minorHAnsi"/>
                <w:b w:val="0"/>
                <w:caps w:val="0"/>
                <w:sz w:val="18"/>
                <w:szCs w:val="18"/>
              </w:rPr>
              <w:t>Abitazioni usate</w:t>
            </w:r>
          </w:p>
        </w:tc>
        <w:tc>
          <w:tcPr>
            <w:tcW w:w="714" w:type="pct"/>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-3,2</w:t>
            </w:r>
          </w:p>
        </w:tc>
        <w:tc>
          <w:tcPr>
            <w:tcW w:w="714" w:type="pct"/>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-2,2</w:t>
            </w:r>
          </w:p>
        </w:tc>
        <w:tc>
          <w:tcPr>
            <w:tcW w:w="714" w:type="pct"/>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-2,6</w:t>
            </w:r>
          </w:p>
        </w:tc>
        <w:tc>
          <w:tcPr>
            <w:tcW w:w="714" w:type="pct"/>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-1,8</w:t>
            </w:r>
          </w:p>
        </w:tc>
        <w:tc>
          <w:tcPr>
            <w:tcW w:w="714" w:type="pct"/>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-1,4</w:t>
            </w:r>
          </w:p>
        </w:tc>
      </w:tr>
      <w:tr w:rsidR="00A02EB4" w:rsidRPr="00B937A0" w:rsidTr="00C177AF">
        <w:trPr>
          <w:trHeight w:val="283"/>
        </w:trPr>
        <w:tc>
          <w:tcPr>
            <w:tcW w:w="1429" w:type="pct"/>
            <w:vAlign w:val="center"/>
          </w:tcPr>
          <w:p w:rsidR="00A02EB4" w:rsidRPr="00624E7E" w:rsidRDefault="00A02EB4" w:rsidP="00C177AF">
            <w:pPr>
              <w:suppressAutoHyphens/>
              <w:rPr>
                <w:rFonts w:asciiTheme="minorHAnsi" w:hAnsiTheme="minorHAnsi"/>
                <w:b w:val="0"/>
                <w:sz w:val="18"/>
                <w:szCs w:val="18"/>
              </w:rPr>
            </w:pPr>
            <w:r w:rsidRPr="00624E7E">
              <w:rPr>
                <w:rFonts w:asciiTheme="minorHAnsi" w:hAnsiTheme="minorHAnsi"/>
                <w:b w:val="0"/>
                <w:caps w:val="0"/>
                <w:sz w:val="18"/>
                <w:szCs w:val="18"/>
              </w:rPr>
              <w:t>Uffici</w:t>
            </w:r>
          </w:p>
        </w:tc>
        <w:tc>
          <w:tcPr>
            <w:tcW w:w="714" w:type="pct"/>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-3,3</w:t>
            </w:r>
          </w:p>
        </w:tc>
        <w:tc>
          <w:tcPr>
            <w:tcW w:w="714" w:type="pct"/>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-2,3</w:t>
            </w:r>
          </w:p>
        </w:tc>
        <w:tc>
          <w:tcPr>
            <w:tcW w:w="714" w:type="pct"/>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-2,7</w:t>
            </w:r>
          </w:p>
        </w:tc>
        <w:tc>
          <w:tcPr>
            <w:tcW w:w="714" w:type="pct"/>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-1,7</w:t>
            </w:r>
          </w:p>
        </w:tc>
        <w:tc>
          <w:tcPr>
            <w:tcW w:w="714" w:type="pct"/>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-1,8</w:t>
            </w:r>
          </w:p>
        </w:tc>
      </w:tr>
      <w:tr w:rsidR="00A02EB4" w:rsidRPr="00B937A0" w:rsidTr="00C177AF">
        <w:trPr>
          <w:trHeight w:val="283"/>
        </w:trPr>
        <w:tc>
          <w:tcPr>
            <w:tcW w:w="1429" w:type="pct"/>
            <w:tcBorders>
              <w:bottom w:val="single" w:sz="8" w:space="0" w:color="0000FF"/>
            </w:tcBorders>
            <w:vAlign w:val="center"/>
          </w:tcPr>
          <w:p w:rsidR="00A02EB4" w:rsidRPr="00624E7E" w:rsidRDefault="00A02EB4" w:rsidP="00C177AF">
            <w:pPr>
              <w:suppressAutoHyphens/>
              <w:rPr>
                <w:rFonts w:asciiTheme="minorHAnsi" w:hAnsiTheme="minorHAnsi"/>
                <w:b w:val="0"/>
                <w:sz w:val="18"/>
                <w:szCs w:val="18"/>
              </w:rPr>
            </w:pPr>
            <w:r w:rsidRPr="00624E7E">
              <w:rPr>
                <w:rFonts w:asciiTheme="minorHAnsi" w:hAnsiTheme="minorHAnsi"/>
                <w:b w:val="0"/>
                <w:caps w:val="0"/>
                <w:sz w:val="18"/>
                <w:szCs w:val="18"/>
              </w:rPr>
              <w:t>Negozi</w:t>
            </w:r>
          </w:p>
        </w:tc>
        <w:tc>
          <w:tcPr>
            <w:tcW w:w="714" w:type="pct"/>
            <w:tcBorders>
              <w:bottom w:val="single" w:sz="8" w:space="0" w:color="0000FF"/>
            </w:tcBorders>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-2,5</w:t>
            </w:r>
          </w:p>
        </w:tc>
        <w:tc>
          <w:tcPr>
            <w:tcW w:w="714" w:type="pct"/>
            <w:tcBorders>
              <w:bottom w:val="single" w:sz="8" w:space="0" w:color="0000FF"/>
            </w:tcBorders>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-1,9</w:t>
            </w:r>
          </w:p>
        </w:tc>
        <w:tc>
          <w:tcPr>
            <w:tcW w:w="714" w:type="pct"/>
            <w:tcBorders>
              <w:bottom w:val="single" w:sz="8" w:space="0" w:color="0000FF"/>
            </w:tcBorders>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-2,5</w:t>
            </w:r>
          </w:p>
        </w:tc>
        <w:tc>
          <w:tcPr>
            <w:tcW w:w="714" w:type="pct"/>
            <w:tcBorders>
              <w:bottom w:val="single" w:sz="8" w:space="0" w:color="0000FF"/>
            </w:tcBorders>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-1,7</w:t>
            </w:r>
          </w:p>
        </w:tc>
        <w:tc>
          <w:tcPr>
            <w:tcW w:w="714" w:type="pct"/>
            <w:tcBorders>
              <w:bottom w:val="single" w:sz="8" w:space="0" w:color="0000FF"/>
            </w:tcBorders>
            <w:vAlign w:val="center"/>
          </w:tcPr>
          <w:p w:rsidR="00A02EB4" w:rsidRPr="00624E7E" w:rsidRDefault="00A02EB4" w:rsidP="00C177AF">
            <w:pPr>
              <w:jc w:val="center"/>
              <w:rPr>
                <w:rFonts w:asciiTheme="minorHAnsi" w:hAnsiTheme="minorHAnsi" w:cs="Arial"/>
                <w:b w:val="0"/>
                <w:sz w:val="18"/>
                <w:szCs w:val="18"/>
              </w:rPr>
            </w:pPr>
            <w:r w:rsidRPr="00624E7E">
              <w:rPr>
                <w:rFonts w:asciiTheme="minorHAnsi" w:hAnsiTheme="minorHAnsi" w:cs="Arial"/>
                <w:b w:val="0"/>
                <w:sz w:val="18"/>
                <w:szCs w:val="18"/>
              </w:rPr>
              <w:t>-1,2</w:t>
            </w:r>
          </w:p>
        </w:tc>
      </w:tr>
    </w:tbl>
    <w:p w:rsidR="00A02EB4" w:rsidRPr="00B937A0" w:rsidRDefault="00A02EB4" w:rsidP="00A02EB4">
      <w:pPr>
        <w:suppressAutoHyphens/>
        <w:spacing w:before="60"/>
        <w:rPr>
          <w:rFonts w:asciiTheme="minorHAnsi" w:hAnsiTheme="minorHAnsi"/>
          <w:sz w:val="18"/>
        </w:rPr>
      </w:pPr>
      <w:r w:rsidRPr="00B937A0">
        <w:rPr>
          <w:rFonts w:asciiTheme="minorHAnsi" w:hAnsiTheme="minorHAnsi"/>
          <w:sz w:val="18"/>
        </w:rPr>
        <w:t>Fonte: Nomisma</w:t>
      </w:r>
    </w:p>
    <w:p w:rsidR="00A02EB4" w:rsidRPr="00624E7E" w:rsidRDefault="00A02EB4" w:rsidP="00A02EB4">
      <w:pPr>
        <w:pStyle w:val="Default"/>
        <w:jc w:val="both"/>
        <w:rPr>
          <w:rFonts w:asciiTheme="minorHAnsi" w:hAnsiTheme="minorHAnsi"/>
          <w:sz w:val="22"/>
          <w:szCs w:val="22"/>
        </w:rPr>
      </w:pPr>
    </w:p>
    <w:p w:rsidR="00A02EB4" w:rsidRPr="00A02EB4" w:rsidRDefault="00A02EB4" w:rsidP="00A02EB4">
      <w:pPr>
        <w:pStyle w:val="Default"/>
        <w:jc w:val="both"/>
        <w:rPr>
          <w:rFonts w:asciiTheme="minorHAnsi" w:eastAsia="Calibri" w:hAnsiTheme="minorHAnsi" w:cstheme="minorHAnsi"/>
          <w:color w:val="auto"/>
          <w:sz w:val="22"/>
          <w:szCs w:val="22"/>
        </w:rPr>
      </w:pPr>
      <w:r w:rsidRPr="00624E7E">
        <w:rPr>
          <w:rFonts w:asciiTheme="minorHAnsi" w:hAnsiTheme="minorHAnsi"/>
          <w:sz w:val="22"/>
          <w:szCs w:val="22"/>
        </w:rPr>
        <w:t xml:space="preserve">Si tratta di uno scenario coerente con l’irrobustimento delle prospettive di crescita economica e, con esso, </w:t>
      </w:r>
      <w:r w:rsidRPr="00A02EB4">
        <w:rPr>
          <w:rFonts w:asciiTheme="minorHAnsi" w:hAnsiTheme="minorHAnsi"/>
          <w:color w:val="auto"/>
          <w:sz w:val="22"/>
          <w:szCs w:val="22"/>
        </w:rPr>
        <w:t>della maggiore propensione del sistema creditizio ad assecondare le richieste di finanziamento per l’acquisto di abitazioni.</w:t>
      </w:r>
    </w:p>
    <w:p w:rsidR="00170F64" w:rsidRPr="00A02EB4" w:rsidRDefault="00170F64" w:rsidP="00A02EB4">
      <w:pPr>
        <w:jc w:val="left"/>
        <w:rPr>
          <w:rFonts w:asciiTheme="minorHAnsi" w:eastAsia="Calibri" w:hAnsiTheme="minorHAnsi" w:cs="Calibri"/>
          <w:b/>
          <w:sz w:val="28"/>
          <w:szCs w:val="28"/>
        </w:rPr>
      </w:pPr>
      <w:r w:rsidRPr="00A02EB4">
        <w:rPr>
          <w:rFonts w:asciiTheme="minorHAnsi" w:hAnsiTheme="minorHAnsi" w:cs="Calibri"/>
          <w:b/>
          <w:sz w:val="28"/>
          <w:szCs w:val="28"/>
        </w:rPr>
        <w:br w:type="page"/>
      </w:r>
    </w:p>
    <w:p w:rsidR="00170F64" w:rsidRPr="003D3270" w:rsidRDefault="00170F64" w:rsidP="007F37E0">
      <w:pPr>
        <w:pStyle w:val="Paragrafoelenco1"/>
        <w:tabs>
          <w:tab w:val="left" w:pos="1418"/>
        </w:tabs>
        <w:suppressAutoHyphens/>
        <w:ind w:left="0"/>
        <w:rPr>
          <w:rFonts w:asciiTheme="minorHAnsi" w:hAnsiTheme="minorHAnsi" w:cs="Calibri"/>
          <w:b/>
          <w:sz w:val="28"/>
          <w:szCs w:val="28"/>
        </w:rPr>
      </w:pPr>
      <w:r w:rsidRPr="003D3270">
        <w:rPr>
          <w:rFonts w:asciiTheme="minorHAnsi" w:hAnsiTheme="minorHAnsi" w:cs="Calibri"/>
          <w:b/>
          <w:sz w:val="28"/>
          <w:szCs w:val="28"/>
        </w:rPr>
        <w:t xml:space="preserve">Il mercato delle abitazioni per vacanza </w:t>
      </w:r>
    </w:p>
    <w:p w:rsidR="00170F64" w:rsidRPr="006344E1" w:rsidRDefault="00170F64" w:rsidP="00364602">
      <w:pPr>
        <w:rPr>
          <w:rFonts w:asciiTheme="minorHAnsi" w:eastAsia="Calibri" w:hAnsiTheme="minorHAnsi" w:cstheme="minorHAnsi"/>
          <w:sz w:val="22"/>
          <w:szCs w:val="24"/>
        </w:rPr>
      </w:pPr>
    </w:p>
    <w:p w:rsidR="00B23B9D" w:rsidRPr="003D3270" w:rsidRDefault="007C3764" w:rsidP="00B23B9D">
      <w:pPr>
        <w:rPr>
          <w:rFonts w:asciiTheme="minorHAnsi" w:eastAsia="Calibri" w:hAnsiTheme="minorHAnsi" w:cstheme="minorHAnsi"/>
          <w:sz w:val="22"/>
          <w:szCs w:val="22"/>
        </w:rPr>
      </w:pPr>
      <w:r w:rsidRPr="003D3270">
        <w:rPr>
          <w:rFonts w:asciiTheme="minorHAnsi" w:eastAsia="Calibri" w:hAnsiTheme="minorHAnsi" w:cstheme="minorHAnsi"/>
          <w:sz w:val="22"/>
          <w:szCs w:val="22"/>
        </w:rPr>
        <w:t xml:space="preserve">Analizzando </w:t>
      </w:r>
      <w:r w:rsidR="00B23B9D" w:rsidRPr="003D3270">
        <w:rPr>
          <w:rFonts w:asciiTheme="minorHAnsi" w:eastAsia="Calibri" w:hAnsiTheme="minorHAnsi" w:cstheme="minorHAnsi"/>
          <w:sz w:val="22"/>
          <w:szCs w:val="22"/>
        </w:rPr>
        <w:t xml:space="preserve">le compravendite di un campione </w:t>
      </w:r>
      <w:r w:rsidR="004334B9" w:rsidRPr="003D3270">
        <w:rPr>
          <w:rFonts w:asciiTheme="minorHAnsi" w:eastAsia="Calibri" w:hAnsiTheme="minorHAnsi" w:cstheme="minorHAnsi"/>
          <w:sz w:val="22"/>
          <w:szCs w:val="22"/>
        </w:rPr>
        <w:t>delle</w:t>
      </w:r>
      <w:r w:rsidR="00B23B9D" w:rsidRPr="003D3270">
        <w:rPr>
          <w:rFonts w:asciiTheme="minorHAnsi" w:eastAsia="Calibri" w:hAnsiTheme="minorHAnsi" w:cstheme="minorHAnsi"/>
          <w:sz w:val="22"/>
          <w:szCs w:val="22"/>
        </w:rPr>
        <w:t xml:space="preserve"> località turistiche</w:t>
      </w:r>
      <w:r w:rsidRPr="003D3270">
        <w:rPr>
          <w:rFonts w:asciiTheme="minorHAnsi" w:eastAsia="Calibri" w:hAnsiTheme="minorHAnsi" w:cstheme="minorHAnsi"/>
          <w:sz w:val="22"/>
          <w:szCs w:val="22"/>
        </w:rPr>
        <w:t xml:space="preserve"> del presente Osservatorio</w:t>
      </w:r>
      <w:r w:rsidR="00B23B9D" w:rsidRPr="003D3270">
        <w:rPr>
          <w:rFonts w:asciiTheme="minorHAnsi" w:eastAsia="Calibri" w:hAnsiTheme="minorHAnsi" w:cstheme="minorHAnsi"/>
          <w:sz w:val="22"/>
          <w:szCs w:val="22"/>
        </w:rPr>
        <w:t xml:space="preserve"> </w:t>
      </w:r>
      <w:r w:rsidR="004334B9" w:rsidRPr="003D3270">
        <w:rPr>
          <w:rFonts w:asciiTheme="minorHAnsi" w:eastAsia="Calibri" w:hAnsiTheme="minorHAnsi" w:cstheme="minorHAnsi"/>
          <w:sz w:val="22"/>
          <w:szCs w:val="22"/>
        </w:rPr>
        <w:t>(</w:t>
      </w:r>
      <w:r w:rsidRPr="003D3270">
        <w:rPr>
          <w:rFonts w:asciiTheme="minorHAnsi" w:eastAsia="Calibri" w:hAnsiTheme="minorHAnsi" w:cstheme="minorHAnsi"/>
          <w:sz w:val="22"/>
          <w:szCs w:val="22"/>
        </w:rPr>
        <w:t xml:space="preserve">il dato è disponibile per </w:t>
      </w:r>
      <w:r w:rsidR="004334B9" w:rsidRPr="00A611E3">
        <w:rPr>
          <w:rFonts w:asciiTheme="minorHAnsi" w:eastAsia="Calibri" w:hAnsiTheme="minorHAnsi" w:cstheme="minorHAnsi"/>
          <w:sz w:val="22"/>
          <w:szCs w:val="22"/>
        </w:rPr>
        <w:t>175</w:t>
      </w:r>
      <w:r w:rsidR="004334B9" w:rsidRPr="003D3270">
        <w:rPr>
          <w:rFonts w:asciiTheme="minorHAnsi" w:eastAsia="Calibri" w:hAnsiTheme="minorHAnsi" w:cstheme="minorHAnsi"/>
          <w:sz w:val="22"/>
          <w:szCs w:val="22"/>
        </w:rPr>
        <w:t xml:space="preserve"> </w:t>
      </w:r>
      <w:r w:rsidRPr="003D3270">
        <w:rPr>
          <w:rFonts w:asciiTheme="minorHAnsi" w:eastAsia="Calibri" w:hAnsiTheme="minorHAnsi" w:cstheme="minorHAnsi"/>
          <w:sz w:val="22"/>
          <w:szCs w:val="22"/>
        </w:rPr>
        <w:t xml:space="preserve">località </w:t>
      </w:r>
      <w:r w:rsidR="004334B9" w:rsidRPr="003D3270">
        <w:rPr>
          <w:rFonts w:asciiTheme="minorHAnsi" w:eastAsia="Calibri" w:hAnsiTheme="minorHAnsi" w:cstheme="minorHAnsi"/>
          <w:sz w:val="22"/>
          <w:szCs w:val="22"/>
        </w:rPr>
        <w:t>su</w:t>
      </w:r>
      <w:r w:rsidRPr="003D3270">
        <w:rPr>
          <w:rFonts w:asciiTheme="minorHAnsi" w:eastAsia="Calibri" w:hAnsiTheme="minorHAnsi" w:cstheme="minorHAnsi"/>
          <w:sz w:val="22"/>
          <w:szCs w:val="22"/>
        </w:rPr>
        <w:t>lle</w:t>
      </w:r>
      <w:r w:rsidR="004334B9" w:rsidRPr="003D3270">
        <w:rPr>
          <w:rFonts w:asciiTheme="minorHAnsi" w:eastAsia="Calibri" w:hAnsiTheme="minorHAnsi" w:cstheme="minorHAnsi"/>
          <w:sz w:val="22"/>
          <w:szCs w:val="22"/>
        </w:rPr>
        <w:t xml:space="preserve"> </w:t>
      </w:r>
      <w:r w:rsidR="004334B9" w:rsidRPr="00A611E3">
        <w:rPr>
          <w:rFonts w:asciiTheme="minorHAnsi" w:eastAsia="Calibri" w:hAnsiTheme="minorHAnsi" w:cstheme="minorHAnsi"/>
          <w:sz w:val="22"/>
          <w:szCs w:val="22"/>
        </w:rPr>
        <w:t>28</w:t>
      </w:r>
      <w:r w:rsidR="00A611E3" w:rsidRPr="00A611E3">
        <w:rPr>
          <w:rFonts w:asciiTheme="minorHAnsi" w:eastAsia="Calibri" w:hAnsiTheme="minorHAnsi" w:cstheme="minorHAnsi"/>
          <w:sz w:val="22"/>
          <w:szCs w:val="22"/>
        </w:rPr>
        <w:t>5</w:t>
      </w:r>
      <w:r w:rsidRPr="003D3270">
        <w:rPr>
          <w:rFonts w:asciiTheme="minorHAnsi" w:eastAsia="Calibri" w:hAnsiTheme="minorHAnsi" w:cstheme="minorHAnsi"/>
          <w:sz w:val="22"/>
          <w:szCs w:val="22"/>
        </w:rPr>
        <w:t xml:space="preserve"> monitorate</w:t>
      </w:r>
      <w:r w:rsidR="004334B9" w:rsidRPr="003D3270">
        <w:rPr>
          <w:rFonts w:asciiTheme="minorHAnsi" w:eastAsia="Calibri" w:hAnsiTheme="minorHAnsi" w:cstheme="minorHAnsi"/>
          <w:sz w:val="22"/>
          <w:szCs w:val="22"/>
        </w:rPr>
        <w:t>)</w:t>
      </w:r>
      <w:r w:rsidR="00B23B9D" w:rsidRPr="003D3270">
        <w:rPr>
          <w:rFonts w:asciiTheme="minorHAnsi" w:eastAsia="Calibri" w:hAnsiTheme="minorHAnsi" w:cstheme="minorHAnsi"/>
          <w:sz w:val="22"/>
          <w:szCs w:val="22"/>
        </w:rPr>
        <w:t>, emergono segnali di attenuazione della tendenza negativa. Dopo il tracollo del 2012 (-26,</w:t>
      </w:r>
      <w:r w:rsidR="004334B9" w:rsidRPr="003D3270">
        <w:rPr>
          <w:rFonts w:asciiTheme="minorHAnsi" w:eastAsia="Calibri" w:hAnsiTheme="minorHAnsi" w:cstheme="minorHAnsi"/>
          <w:sz w:val="22"/>
          <w:szCs w:val="22"/>
        </w:rPr>
        <w:t>5</w:t>
      </w:r>
      <w:r w:rsidR="00B23B9D" w:rsidRPr="003D3270">
        <w:rPr>
          <w:rFonts w:asciiTheme="minorHAnsi" w:eastAsia="Calibri" w:hAnsiTheme="minorHAnsi" w:cstheme="minorHAnsi"/>
          <w:sz w:val="22"/>
          <w:szCs w:val="22"/>
        </w:rPr>
        <w:t xml:space="preserve">%), in corrispondenza della débâcle del mercato immobiliare nazionale, </w:t>
      </w:r>
      <w:r w:rsidR="004334B9" w:rsidRPr="003D3270">
        <w:rPr>
          <w:rFonts w:asciiTheme="minorHAnsi" w:eastAsia="Calibri" w:hAnsiTheme="minorHAnsi" w:cstheme="minorHAnsi"/>
          <w:sz w:val="22"/>
          <w:szCs w:val="22"/>
        </w:rPr>
        <w:t>e la flessione</w:t>
      </w:r>
      <w:r w:rsidRPr="003D3270">
        <w:rPr>
          <w:rFonts w:asciiTheme="minorHAnsi" w:eastAsia="Calibri" w:hAnsiTheme="minorHAnsi" w:cstheme="minorHAnsi"/>
          <w:sz w:val="22"/>
          <w:szCs w:val="22"/>
        </w:rPr>
        <w:t xml:space="preserve"> del 9,1%</w:t>
      </w:r>
      <w:r w:rsidR="004334B9" w:rsidRPr="003D3270">
        <w:rPr>
          <w:rFonts w:asciiTheme="minorHAnsi" w:eastAsia="Calibri" w:hAnsiTheme="minorHAnsi" w:cstheme="minorHAnsi"/>
          <w:sz w:val="22"/>
          <w:szCs w:val="22"/>
        </w:rPr>
        <w:t xml:space="preserve"> registrata </w:t>
      </w:r>
      <w:r w:rsidR="00B23B9D" w:rsidRPr="003D3270">
        <w:rPr>
          <w:rFonts w:asciiTheme="minorHAnsi" w:eastAsia="Calibri" w:hAnsiTheme="minorHAnsi" w:cstheme="minorHAnsi"/>
          <w:sz w:val="22"/>
          <w:szCs w:val="22"/>
        </w:rPr>
        <w:t>nel 2013</w:t>
      </w:r>
      <w:r w:rsidR="004334B9" w:rsidRPr="003D3270">
        <w:rPr>
          <w:rFonts w:asciiTheme="minorHAnsi" w:eastAsia="Calibri" w:hAnsiTheme="minorHAnsi" w:cstheme="minorHAnsi"/>
          <w:sz w:val="22"/>
          <w:szCs w:val="22"/>
        </w:rPr>
        <w:t xml:space="preserve">, nel corso del 2014 la tendenza </w:t>
      </w:r>
      <w:r w:rsidRPr="003D3270">
        <w:rPr>
          <w:rFonts w:asciiTheme="minorHAnsi" w:eastAsia="Calibri" w:hAnsiTheme="minorHAnsi" w:cstheme="minorHAnsi"/>
          <w:sz w:val="22"/>
          <w:szCs w:val="22"/>
        </w:rPr>
        <w:t>generale si è invertita</w:t>
      </w:r>
      <w:r w:rsidR="00B23B9D" w:rsidRPr="003D3270">
        <w:rPr>
          <w:rFonts w:asciiTheme="minorHAnsi" w:eastAsia="Calibri" w:hAnsiTheme="minorHAnsi" w:cstheme="minorHAnsi"/>
          <w:sz w:val="22"/>
          <w:szCs w:val="22"/>
        </w:rPr>
        <w:t>.</w:t>
      </w:r>
    </w:p>
    <w:p w:rsidR="007C3764" w:rsidRPr="003D3270" w:rsidRDefault="007C3764" w:rsidP="00B23B9D">
      <w:pPr>
        <w:rPr>
          <w:rFonts w:asciiTheme="minorHAnsi" w:eastAsia="Calibri" w:hAnsiTheme="minorHAnsi" w:cstheme="minorHAnsi"/>
          <w:sz w:val="22"/>
          <w:szCs w:val="22"/>
        </w:rPr>
      </w:pPr>
      <w:r w:rsidRPr="003D3270">
        <w:rPr>
          <w:rFonts w:asciiTheme="minorHAnsi" w:eastAsia="Calibri" w:hAnsiTheme="minorHAnsi" w:cstheme="minorHAnsi"/>
          <w:sz w:val="22"/>
          <w:szCs w:val="22"/>
        </w:rPr>
        <w:t>La ripresa delle transazioni nelle località marine, infatti, ha portato ad un +3,2% complessivo, in linea col +3,6% registrato a livello nazionale.</w:t>
      </w:r>
    </w:p>
    <w:p w:rsidR="00B23B9D" w:rsidRPr="00264809" w:rsidRDefault="00B23B9D" w:rsidP="00B23B9D">
      <w:pPr>
        <w:rPr>
          <w:rFonts w:asciiTheme="minorHAnsi" w:eastAsia="Calibri" w:hAnsiTheme="minorHAnsi" w:cstheme="minorHAnsi"/>
          <w:sz w:val="22"/>
          <w:szCs w:val="24"/>
        </w:rPr>
      </w:pPr>
    </w:p>
    <w:tbl>
      <w:tblPr>
        <w:tblStyle w:val="Grigliatabella"/>
        <w:tblpPr w:leftFromText="141" w:rightFromText="141" w:vertAnchor="text" w:horzAnchor="margin"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5"/>
        <w:gridCol w:w="2445"/>
      </w:tblGrid>
      <w:tr w:rsidR="00B23B9D" w:rsidRPr="003D3270" w:rsidTr="00575691">
        <w:trPr>
          <w:trHeight w:val="340"/>
        </w:trPr>
        <w:tc>
          <w:tcPr>
            <w:tcW w:w="2444" w:type="dxa"/>
            <w:vAlign w:val="center"/>
          </w:tcPr>
          <w:p w:rsidR="00B23B9D" w:rsidRPr="003D3270" w:rsidRDefault="00B23B9D" w:rsidP="00575691">
            <w:pPr>
              <w:jc w:val="left"/>
              <w:rPr>
                <w:rFonts w:asciiTheme="minorHAnsi" w:eastAsia="Calibri" w:hAnsiTheme="minorHAnsi" w:cstheme="minorHAnsi"/>
                <w:sz w:val="20"/>
              </w:rPr>
            </w:pPr>
            <w:r w:rsidRPr="003D3270">
              <w:rPr>
                <w:rFonts w:asciiTheme="minorHAnsi" w:eastAsia="Calibri" w:hAnsiTheme="minorHAnsi" w:cstheme="minorHAnsi"/>
                <w:caps w:val="0"/>
                <w:sz w:val="20"/>
              </w:rPr>
              <w:t xml:space="preserve">Tavola </w:t>
            </w:r>
            <w:r w:rsidR="00514FB7">
              <w:rPr>
                <w:rFonts w:asciiTheme="minorHAnsi" w:eastAsia="Calibri" w:hAnsiTheme="minorHAnsi" w:cstheme="minorHAnsi"/>
                <w:sz w:val="20"/>
              </w:rPr>
              <w:t>2</w:t>
            </w:r>
          </w:p>
        </w:tc>
        <w:tc>
          <w:tcPr>
            <w:tcW w:w="7334" w:type="dxa"/>
            <w:gridSpan w:val="3"/>
            <w:shd w:val="clear" w:color="auto" w:fill="D9D9D9" w:themeFill="background1" w:themeFillShade="D9"/>
            <w:vAlign w:val="center"/>
          </w:tcPr>
          <w:p w:rsidR="00B23B9D" w:rsidRPr="003D3270" w:rsidRDefault="00B23B9D" w:rsidP="00575691">
            <w:pPr>
              <w:jc w:val="center"/>
              <w:rPr>
                <w:rFonts w:asciiTheme="minorHAnsi" w:eastAsia="Calibri" w:hAnsiTheme="minorHAnsi" w:cstheme="minorHAnsi"/>
                <w:caps w:val="0"/>
                <w:sz w:val="20"/>
              </w:rPr>
            </w:pPr>
            <w:r w:rsidRPr="003D3270">
              <w:rPr>
                <w:rFonts w:ascii="Calibri" w:hAnsi="Calibri" w:cs="Arial"/>
                <w:caps w:val="0"/>
                <w:sz w:val="20"/>
              </w:rPr>
              <w:t>Numero di compravendite di abitazioni – Variazioni % annuali</w:t>
            </w:r>
          </w:p>
        </w:tc>
      </w:tr>
      <w:tr w:rsidR="004334B9" w:rsidRPr="003D3270" w:rsidTr="00575691">
        <w:trPr>
          <w:trHeight w:val="340"/>
        </w:trPr>
        <w:tc>
          <w:tcPr>
            <w:tcW w:w="2444" w:type="dxa"/>
            <w:vAlign w:val="center"/>
          </w:tcPr>
          <w:p w:rsidR="004334B9" w:rsidRPr="003D3270" w:rsidRDefault="004334B9" w:rsidP="004334B9">
            <w:pPr>
              <w:jc w:val="left"/>
              <w:rPr>
                <w:rFonts w:asciiTheme="minorHAnsi" w:eastAsia="Calibri" w:hAnsiTheme="minorHAnsi" w:cstheme="minorHAnsi"/>
                <w:b w:val="0"/>
                <w:sz w:val="20"/>
              </w:rPr>
            </w:pPr>
          </w:p>
        </w:tc>
        <w:tc>
          <w:tcPr>
            <w:tcW w:w="2444" w:type="dxa"/>
            <w:shd w:val="clear" w:color="auto" w:fill="F2F2F2" w:themeFill="background1" w:themeFillShade="F2"/>
            <w:vAlign w:val="center"/>
          </w:tcPr>
          <w:p w:rsidR="004334B9" w:rsidRPr="003D3270" w:rsidRDefault="004334B9" w:rsidP="004334B9">
            <w:pPr>
              <w:jc w:val="center"/>
              <w:rPr>
                <w:rFonts w:ascii="Calibri" w:hAnsi="Calibri" w:cs="Arial"/>
                <w:sz w:val="20"/>
              </w:rPr>
            </w:pPr>
            <w:r w:rsidRPr="003D3270">
              <w:rPr>
                <w:rFonts w:ascii="Calibri" w:hAnsi="Calibri" w:cs="Arial"/>
                <w:sz w:val="20"/>
              </w:rPr>
              <w:t>2012/2011</w:t>
            </w:r>
          </w:p>
        </w:tc>
        <w:tc>
          <w:tcPr>
            <w:tcW w:w="2445" w:type="dxa"/>
            <w:shd w:val="clear" w:color="auto" w:fill="F2F2F2" w:themeFill="background1" w:themeFillShade="F2"/>
            <w:vAlign w:val="center"/>
          </w:tcPr>
          <w:p w:rsidR="004334B9" w:rsidRPr="003D3270" w:rsidRDefault="004334B9" w:rsidP="004334B9">
            <w:pPr>
              <w:jc w:val="center"/>
              <w:rPr>
                <w:rFonts w:ascii="Calibri" w:hAnsi="Calibri" w:cs="Arial"/>
                <w:sz w:val="20"/>
              </w:rPr>
            </w:pPr>
            <w:r w:rsidRPr="003D3270">
              <w:rPr>
                <w:rFonts w:ascii="Calibri" w:hAnsi="Calibri" w:cs="Arial"/>
                <w:sz w:val="20"/>
              </w:rPr>
              <w:t>2013/2012</w:t>
            </w:r>
          </w:p>
        </w:tc>
        <w:tc>
          <w:tcPr>
            <w:tcW w:w="2445" w:type="dxa"/>
            <w:shd w:val="clear" w:color="auto" w:fill="F2F2F2" w:themeFill="background1" w:themeFillShade="F2"/>
            <w:vAlign w:val="center"/>
          </w:tcPr>
          <w:p w:rsidR="004334B9" w:rsidRPr="003D3270" w:rsidRDefault="004334B9" w:rsidP="004334B9">
            <w:pPr>
              <w:jc w:val="center"/>
              <w:rPr>
                <w:rFonts w:ascii="Calibri" w:hAnsi="Calibri" w:cs="Arial"/>
                <w:sz w:val="20"/>
              </w:rPr>
            </w:pPr>
            <w:r w:rsidRPr="003D3270">
              <w:rPr>
                <w:rFonts w:ascii="Calibri" w:hAnsi="Calibri" w:cs="Arial"/>
                <w:sz w:val="20"/>
              </w:rPr>
              <w:t>2014/2013</w:t>
            </w:r>
          </w:p>
        </w:tc>
      </w:tr>
      <w:tr w:rsidR="004334B9" w:rsidRPr="003D3270" w:rsidTr="004334B9">
        <w:trPr>
          <w:trHeight w:val="340"/>
        </w:trPr>
        <w:tc>
          <w:tcPr>
            <w:tcW w:w="2444" w:type="dxa"/>
            <w:shd w:val="clear" w:color="auto" w:fill="DBE5F1" w:themeFill="accent1" w:themeFillTint="33"/>
            <w:vAlign w:val="center"/>
          </w:tcPr>
          <w:p w:rsidR="004334B9" w:rsidRPr="003D3270" w:rsidRDefault="004334B9" w:rsidP="004334B9">
            <w:pPr>
              <w:jc w:val="left"/>
              <w:rPr>
                <w:rFonts w:asciiTheme="minorHAnsi" w:eastAsia="Calibri" w:hAnsiTheme="minorHAnsi" w:cstheme="minorHAnsi"/>
                <w:sz w:val="20"/>
              </w:rPr>
            </w:pPr>
            <w:r w:rsidRPr="003D3270">
              <w:rPr>
                <w:rFonts w:asciiTheme="minorHAnsi" w:eastAsia="Calibri" w:hAnsiTheme="minorHAnsi" w:cstheme="minorHAnsi"/>
                <w:caps w:val="0"/>
                <w:sz w:val="20"/>
              </w:rPr>
              <w:t xml:space="preserve">Località marine </w:t>
            </w:r>
            <w:r w:rsidRPr="003D3270">
              <w:rPr>
                <w:rFonts w:asciiTheme="minorHAnsi" w:eastAsia="Calibri" w:hAnsiTheme="minorHAnsi" w:cstheme="minorHAnsi"/>
                <w:b w:val="0"/>
                <w:caps w:val="0"/>
                <w:sz w:val="16"/>
              </w:rPr>
              <w:t>(118)</w:t>
            </w:r>
          </w:p>
        </w:tc>
        <w:tc>
          <w:tcPr>
            <w:tcW w:w="2444" w:type="dxa"/>
            <w:shd w:val="clear" w:color="auto" w:fill="DBE5F1" w:themeFill="accent1" w:themeFillTint="33"/>
            <w:vAlign w:val="center"/>
          </w:tcPr>
          <w:p w:rsidR="004334B9" w:rsidRPr="003D3270" w:rsidRDefault="004334B9" w:rsidP="004334B9">
            <w:pPr>
              <w:jc w:val="center"/>
              <w:rPr>
                <w:rFonts w:ascii="Calibri" w:hAnsi="Calibri" w:cs="Arial"/>
                <w:b w:val="0"/>
                <w:sz w:val="20"/>
              </w:rPr>
            </w:pPr>
            <w:r w:rsidRPr="003D3270">
              <w:rPr>
                <w:rFonts w:ascii="Calibri" w:hAnsi="Calibri" w:cs="Arial"/>
                <w:b w:val="0"/>
                <w:sz w:val="20"/>
              </w:rPr>
              <w:t>-27,3</w:t>
            </w:r>
          </w:p>
        </w:tc>
        <w:tc>
          <w:tcPr>
            <w:tcW w:w="2445" w:type="dxa"/>
            <w:shd w:val="clear" w:color="auto" w:fill="DBE5F1" w:themeFill="accent1" w:themeFillTint="33"/>
            <w:vAlign w:val="center"/>
          </w:tcPr>
          <w:p w:rsidR="004334B9" w:rsidRPr="003D3270" w:rsidRDefault="004334B9" w:rsidP="004334B9">
            <w:pPr>
              <w:jc w:val="center"/>
              <w:rPr>
                <w:rFonts w:ascii="Calibri" w:hAnsi="Calibri" w:cs="Arial"/>
                <w:b w:val="0"/>
                <w:sz w:val="20"/>
              </w:rPr>
            </w:pPr>
            <w:r w:rsidRPr="003D3270">
              <w:rPr>
                <w:rFonts w:ascii="Calibri" w:hAnsi="Calibri" w:cs="Arial"/>
                <w:b w:val="0"/>
                <w:sz w:val="20"/>
              </w:rPr>
              <w:t>-9,9</w:t>
            </w:r>
          </w:p>
        </w:tc>
        <w:tc>
          <w:tcPr>
            <w:tcW w:w="2445" w:type="dxa"/>
            <w:shd w:val="clear" w:color="auto" w:fill="DBE5F1" w:themeFill="accent1" w:themeFillTint="33"/>
            <w:vAlign w:val="center"/>
          </w:tcPr>
          <w:p w:rsidR="004334B9" w:rsidRPr="003D3270" w:rsidRDefault="004334B9" w:rsidP="004334B9">
            <w:pPr>
              <w:jc w:val="center"/>
              <w:rPr>
                <w:rFonts w:ascii="Calibri" w:hAnsi="Calibri" w:cs="Arial"/>
                <w:b w:val="0"/>
                <w:sz w:val="20"/>
              </w:rPr>
            </w:pPr>
            <w:r w:rsidRPr="003D3270">
              <w:rPr>
                <w:rFonts w:ascii="Calibri" w:hAnsi="Calibri" w:cs="Arial"/>
                <w:b w:val="0"/>
                <w:sz w:val="20"/>
              </w:rPr>
              <w:t>+4,6</w:t>
            </w:r>
          </w:p>
        </w:tc>
      </w:tr>
      <w:tr w:rsidR="004334B9" w:rsidRPr="003D3270" w:rsidTr="004334B9">
        <w:trPr>
          <w:trHeight w:val="340"/>
        </w:trPr>
        <w:tc>
          <w:tcPr>
            <w:tcW w:w="2444" w:type="dxa"/>
            <w:shd w:val="clear" w:color="auto" w:fill="DBE5F1" w:themeFill="accent1" w:themeFillTint="33"/>
            <w:vAlign w:val="center"/>
          </w:tcPr>
          <w:p w:rsidR="004334B9" w:rsidRPr="003D3270" w:rsidRDefault="004334B9" w:rsidP="004334B9">
            <w:pPr>
              <w:jc w:val="left"/>
              <w:rPr>
                <w:rFonts w:asciiTheme="minorHAnsi" w:eastAsia="Calibri" w:hAnsiTheme="minorHAnsi" w:cstheme="minorHAnsi"/>
                <w:sz w:val="20"/>
              </w:rPr>
            </w:pPr>
            <w:r w:rsidRPr="003D3270">
              <w:rPr>
                <w:rFonts w:asciiTheme="minorHAnsi" w:eastAsia="Calibri" w:hAnsiTheme="minorHAnsi" w:cstheme="minorHAnsi"/>
                <w:caps w:val="0"/>
                <w:sz w:val="20"/>
              </w:rPr>
              <w:t xml:space="preserve">Località montane </w:t>
            </w:r>
            <w:r w:rsidRPr="003D3270">
              <w:rPr>
                <w:rFonts w:asciiTheme="minorHAnsi" w:eastAsia="Calibri" w:hAnsiTheme="minorHAnsi" w:cstheme="minorHAnsi"/>
                <w:b w:val="0"/>
                <w:caps w:val="0"/>
                <w:sz w:val="16"/>
              </w:rPr>
              <w:t>(45)</w:t>
            </w:r>
          </w:p>
        </w:tc>
        <w:tc>
          <w:tcPr>
            <w:tcW w:w="2444" w:type="dxa"/>
            <w:shd w:val="clear" w:color="auto" w:fill="DBE5F1" w:themeFill="accent1" w:themeFillTint="33"/>
            <w:vAlign w:val="center"/>
          </w:tcPr>
          <w:p w:rsidR="004334B9" w:rsidRPr="003D3270" w:rsidRDefault="004334B9" w:rsidP="004334B9">
            <w:pPr>
              <w:jc w:val="center"/>
              <w:rPr>
                <w:rFonts w:ascii="Calibri" w:hAnsi="Calibri" w:cs="Arial"/>
                <w:b w:val="0"/>
                <w:sz w:val="20"/>
              </w:rPr>
            </w:pPr>
            <w:r w:rsidRPr="003D3270">
              <w:rPr>
                <w:rFonts w:ascii="Calibri" w:hAnsi="Calibri" w:cs="Arial"/>
                <w:b w:val="0"/>
                <w:sz w:val="20"/>
              </w:rPr>
              <w:t>-24,6</w:t>
            </w:r>
          </w:p>
        </w:tc>
        <w:tc>
          <w:tcPr>
            <w:tcW w:w="2445" w:type="dxa"/>
            <w:shd w:val="clear" w:color="auto" w:fill="DBE5F1" w:themeFill="accent1" w:themeFillTint="33"/>
            <w:vAlign w:val="center"/>
          </w:tcPr>
          <w:p w:rsidR="004334B9" w:rsidRPr="003D3270" w:rsidRDefault="004334B9" w:rsidP="004334B9">
            <w:pPr>
              <w:jc w:val="center"/>
              <w:rPr>
                <w:rFonts w:ascii="Calibri" w:hAnsi="Calibri" w:cs="Arial"/>
                <w:b w:val="0"/>
                <w:sz w:val="20"/>
              </w:rPr>
            </w:pPr>
            <w:r w:rsidRPr="003D3270">
              <w:rPr>
                <w:rFonts w:ascii="Calibri" w:hAnsi="Calibri" w:cs="Arial"/>
                <w:b w:val="0"/>
                <w:sz w:val="20"/>
              </w:rPr>
              <w:t>-6,9</w:t>
            </w:r>
          </w:p>
        </w:tc>
        <w:tc>
          <w:tcPr>
            <w:tcW w:w="2445" w:type="dxa"/>
            <w:shd w:val="clear" w:color="auto" w:fill="DBE5F1" w:themeFill="accent1" w:themeFillTint="33"/>
            <w:vAlign w:val="center"/>
          </w:tcPr>
          <w:p w:rsidR="004334B9" w:rsidRPr="003D3270" w:rsidRDefault="004334B9" w:rsidP="004334B9">
            <w:pPr>
              <w:jc w:val="center"/>
              <w:rPr>
                <w:rFonts w:ascii="Calibri" w:hAnsi="Calibri" w:cs="Arial"/>
                <w:b w:val="0"/>
                <w:sz w:val="20"/>
              </w:rPr>
            </w:pPr>
            <w:r w:rsidRPr="003D3270">
              <w:rPr>
                <w:rFonts w:ascii="Calibri" w:hAnsi="Calibri" w:cs="Arial"/>
                <w:b w:val="0"/>
                <w:sz w:val="20"/>
              </w:rPr>
              <w:t>-1,0</w:t>
            </w:r>
          </w:p>
        </w:tc>
      </w:tr>
      <w:tr w:rsidR="004334B9" w:rsidRPr="003D3270" w:rsidTr="004334B9">
        <w:trPr>
          <w:trHeight w:val="340"/>
        </w:trPr>
        <w:tc>
          <w:tcPr>
            <w:tcW w:w="2444" w:type="dxa"/>
            <w:shd w:val="clear" w:color="auto" w:fill="DBE5F1" w:themeFill="accent1" w:themeFillTint="33"/>
            <w:vAlign w:val="center"/>
          </w:tcPr>
          <w:p w:rsidR="004334B9" w:rsidRPr="003D3270" w:rsidRDefault="004334B9" w:rsidP="004334B9">
            <w:pPr>
              <w:jc w:val="left"/>
              <w:rPr>
                <w:rFonts w:asciiTheme="minorHAnsi" w:eastAsia="Calibri" w:hAnsiTheme="minorHAnsi" w:cstheme="minorHAnsi"/>
                <w:sz w:val="20"/>
              </w:rPr>
            </w:pPr>
            <w:r w:rsidRPr="003D3270">
              <w:rPr>
                <w:rFonts w:asciiTheme="minorHAnsi" w:eastAsia="Calibri" w:hAnsiTheme="minorHAnsi" w:cstheme="minorHAnsi"/>
                <w:caps w:val="0"/>
                <w:sz w:val="20"/>
              </w:rPr>
              <w:t xml:space="preserve">Località lacuali </w:t>
            </w:r>
            <w:r w:rsidRPr="003D3270">
              <w:rPr>
                <w:rFonts w:asciiTheme="minorHAnsi" w:eastAsia="Calibri" w:hAnsiTheme="minorHAnsi" w:cstheme="minorHAnsi"/>
                <w:b w:val="0"/>
                <w:caps w:val="0"/>
                <w:sz w:val="16"/>
              </w:rPr>
              <w:t>(12)</w:t>
            </w:r>
          </w:p>
        </w:tc>
        <w:tc>
          <w:tcPr>
            <w:tcW w:w="2444" w:type="dxa"/>
            <w:shd w:val="clear" w:color="auto" w:fill="DBE5F1" w:themeFill="accent1" w:themeFillTint="33"/>
            <w:vAlign w:val="center"/>
          </w:tcPr>
          <w:p w:rsidR="004334B9" w:rsidRPr="003D3270" w:rsidRDefault="004334B9" w:rsidP="004334B9">
            <w:pPr>
              <w:jc w:val="center"/>
              <w:rPr>
                <w:rFonts w:ascii="Calibri" w:hAnsi="Calibri" w:cs="Arial"/>
                <w:b w:val="0"/>
                <w:sz w:val="20"/>
              </w:rPr>
            </w:pPr>
            <w:r w:rsidRPr="003D3270">
              <w:rPr>
                <w:rFonts w:ascii="Calibri" w:hAnsi="Calibri" w:cs="Arial"/>
                <w:b w:val="0"/>
                <w:sz w:val="20"/>
              </w:rPr>
              <w:t>-19,9</w:t>
            </w:r>
          </w:p>
        </w:tc>
        <w:tc>
          <w:tcPr>
            <w:tcW w:w="2445" w:type="dxa"/>
            <w:shd w:val="clear" w:color="auto" w:fill="DBE5F1" w:themeFill="accent1" w:themeFillTint="33"/>
            <w:vAlign w:val="center"/>
          </w:tcPr>
          <w:p w:rsidR="004334B9" w:rsidRPr="003D3270" w:rsidRDefault="004334B9" w:rsidP="004334B9">
            <w:pPr>
              <w:jc w:val="center"/>
              <w:rPr>
                <w:rFonts w:ascii="Calibri" w:hAnsi="Calibri" w:cs="Arial"/>
                <w:b w:val="0"/>
                <w:sz w:val="20"/>
              </w:rPr>
            </w:pPr>
            <w:r w:rsidRPr="003D3270">
              <w:rPr>
                <w:rFonts w:ascii="Calibri" w:hAnsi="Calibri" w:cs="Arial"/>
                <w:b w:val="0"/>
                <w:sz w:val="20"/>
              </w:rPr>
              <w:t>-3,4</w:t>
            </w:r>
          </w:p>
        </w:tc>
        <w:tc>
          <w:tcPr>
            <w:tcW w:w="2445" w:type="dxa"/>
            <w:shd w:val="clear" w:color="auto" w:fill="DBE5F1" w:themeFill="accent1" w:themeFillTint="33"/>
            <w:vAlign w:val="center"/>
          </w:tcPr>
          <w:p w:rsidR="004334B9" w:rsidRPr="003D3270" w:rsidRDefault="004334B9" w:rsidP="004334B9">
            <w:pPr>
              <w:jc w:val="center"/>
              <w:rPr>
                <w:rFonts w:ascii="Calibri" w:hAnsi="Calibri" w:cs="Arial"/>
                <w:b w:val="0"/>
                <w:sz w:val="20"/>
              </w:rPr>
            </w:pPr>
            <w:r w:rsidRPr="003D3270">
              <w:rPr>
                <w:rFonts w:ascii="Calibri" w:hAnsi="Calibri" w:cs="Arial"/>
                <w:b w:val="0"/>
                <w:sz w:val="20"/>
              </w:rPr>
              <w:t>-4,6</w:t>
            </w:r>
          </w:p>
        </w:tc>
      </w:tr>
      <w:tr w:rsidR="004334B9" w:rsidRPr="003D3270" w:rsidTr="004334B9">
        <w:trPr>
          <w:trHeight w:val="340"/>
        </w:trPr>
        <w:tc>
          <w:tcPr>
            <w:tcW w:w="2444" w:type="dxa"/>
            <w:shd w:val="clear" w:color="auto" w:fill="D9D9D9" w:themeFill="background1" w:themeFillShade="D9"/>
            <w:vAlign w:val="center"/>
          </w:tcPr>
          <w:p w:rsidR="004334B9" w:rsidRPr="003D3270" w:rsidRDefault="004334B9" w:rsidP="004334B9">
            <w:pPr>
              <w:jc w:val="left"/>
              <w:rPr>
                <w:rFonts w:asciiTheme="minorHAnsi" w:eastAsia="Calibri" w:hAnsiTheme="minorHAnsi" w:cstheme="minorHAnsi"/>
                <w:caps w:val="0"/>
                <w:sz w:val="20"/>
              </w:rPr>
            </w:pPr>
            <w:r w:rsidRPr="003D3270">
              <w:rPr>
                <w:rFonts w:asciiTheme="minorHAnsi" w:eastAsia="Calibri" w:hAnsiTheme="minorHAnsi" w:cstheme="minorHAnsi"/>
                <w:caps w:val="0"/>
                <w:sz w:val="20"/>
              </w:rPr>
              <w:t>Totale</w:t>
            </w:r>
            <w:r w:rsidR="007C3764" w:rsidRPr="003D3270">
              <w:rPr>
                <w:rFonts w:asciiTheme="minorHAnsi" w:eastAsia="Calibri" w:hAnsiTheme="minorHAnsi" w:cstheme="minorHAnsi"/>
                <w:caps w:val="0"/>
                <w:sz w:val="20"/>
              </w:rPr>
              <w:t xml:space="preserve"> località turistiche</w:t>
            </w:r>
          </w:p>
        </w:tc>
        <w:tc>
          <w:tcPr>
            <w:tcW w:w="2444" w:type="dxa"/>
            <w:shd w:val="clear" w:color="auto" w:fill="D9D9D9" w:themeFill="background1" w:themeFillShade="D9"/>
            <w:vAlign w:val="center"/>
          </w:tcPr>
          <w:p w:rsidR="004334B9" w:rsidRPr="003D3270" w:rsidRDefault="004334B9" w:rsidP="004334B9">
            <w:pPr>
              <w:jc w:val="center"/>
              <w:rPr>
                <w:rFonts w:ascii="Calibri" w:hAnsi="Calibri" w:cs="Arial"/>
                <w:sz w:val="20"/>
              </w:rPr>
            </w:pPr>
            <w:r w:rsidRPr="003D3270">
              <w:rPr>
                <w:rFonts w:ascii="Calibri" w:hAnsi="Calibri" w:cs="Arial"/>
                <w:sz w:val="20"/>
              </w:rPr>
              <w:t>-26,5</w:t>
            </w:r>
          </w:p>
        </w:tc>
        <w:tc>
          <w:tcPr>
            <w:tcW w:w="2445" w:type="dxa"/>
            <w:shd w:val="clear" w:color="auto" w:fill="D9D9D9" w:themeFill="background1" w:themeFillShade="D9"/>
            <w:vAlign w:val="center"/>
          </w:tcPr>
          <w:p w:rsidR="004334B9" w:rsidRPr="003D3270" w:rsidRDefault="004334B9" w:rsidP="004334B9">
            <w:pPr>
              <w:jc w:val="center"/>
              <w:rPr>
                <w:rFonts w:ascii="Calibri" w:hAnsi="Calibri" w:cs="Arial"/>
                <w:sz w:val="20"/>
              </w:rPr>
            </w:pPr>
            <w:r w:rsidRPr="003D3270">
              <w:rPr>
                <w:rFonts w:ascii="Calibri" w:hAnsi="Calibri" w:cs="Arial"/>
                <w:sz w:val="20"/>
              </w:rPr>
              <w:t>-9,1</w:t>
            </w:r>
          </w:p>
        </w:tc>
        <w:tc>
          <w:tcPr>
            <w:tcW w:w="2445" w:type="dxa"/>
            <w:shd w:val="clear" w:color="auto" w:fill="D9D9D9" w:themeFill="background1" w:themeFillShade="D9"/>
            <w:vAlign w:val="center"/>
          </w:tcPr>
          <w:p w:rsidR="004334B9" w:rsidRPr="003D3270" w:rsidRDefault="004334B9" w:rsidP="004334B9">
            <w:pPr>
              <w:jc w:val="center"/>
              <w:rPr>
                <w:rFonts w:ascii="Calibri" w:hAnsi="Calibri" w:cs="Arial"/>
                <w:sz w:val="20"/>
              </w:rPr>
            </w:pPr>
            <w:r w:rsidRPr="003D3270">
              <w:rPr>
                <w:rFonts w:ascii="Calibri" w:hAnsi="Calibri" w:cs="Arial"/>
                <w:sz w:val="20"/>
              </w:rPr>
              <w:t>+3,2</w:t>
            </w:r>
          </w:p>
        </w:tc>
      </w:tr>
    </w:tbl>
    <w:p w:rsidR="00B23B9D" w:rsidRPr="003D3270" w:rsidRDefault="00B23B9D" w:rsidP="008D7331">
      <w:pPr>
        <w:spacing w:before="60"/>
        <w:rPr>
          <w:rFonts w:asciiTheme="minorHAnsi" w:eastAsia="Calibri" w:hAnsiTheme="minorHAnsi" w:cstheme="minorHAnsi"/>
          <w:sz w:val="18"/>
        </w:rPr>
      </w:pPr>
      <w:r w:rsidRPr="003D3270">
        <w:rPr>
          <w:rFonts w:asciiTheme="minorHAnsi" w:eastAsia="Calibri" w:hAnsiTheme="minorHAnsi" w:cstheme="minorHAnsi"/>
          <w:sz w:val="18"/>
        </w:rPr>
        <w:t xml:space="preserve">Fonte: </w:t>
      </w:r>
      <w:r w:rsidR="008D7331" w:rsidRPr="003D3270">
        <w:rPr>
          <w:rFonts w:asciiTheme="minorHAnsi" w:eastAsia="Calibri" w:hAnsiTheme="minorHAnsi" w:cstheme="minorHAnsi"/>
          <w:sz w:val="18"/>
        </w:rPr>
        <w:t xml:space="preserve">elaborazioni </w:t>
      </w:r>
      <w:r w:rsidRPr="003D3270">
        <w:rPr>
          <w:rFonts w:asciiTheme="minorHAnsi" w:eastAsia="Calibri" w:hAnsiTheme="minorHAnsi" w:cstheme="minorHAnsi"/>
          <w:sz w:val="18"/>
        </w:rPr>
        <w:t xml:space="preserve">Nomisma </w:t>
      </w:r>
      <w:r w:rsidR="00CB214E" w:rsidRPr="003D3270">
        <w:rPr>
          <w:rFonts w:asciiTheme="minorHAnsi" w:eastAsia="Calibri" w:hAnsiTheme="minorHAnsi" w:cstheme="minorHAnsi"/>
          <w:sz w:val="18"/>
        </w:rPr>
        <w:t>e Fi</w:t>
      </w:r>
      <w:r w:rsidR="008D7331" w:rsidRPr="003D3270">
        <w:rPr>
          <w:rFonts w:asciiTheme="minorHAnsi" w:eastAsia="Calibri" w:hAnsiTheme="minorHAnsi" w:cstheme="minorHAnsi"/>
          <w:sz w:val="18"/>
        </w:rPr>
        <w:t>m</w:t>
      </w:r>
      <w:r w:rsidR="00CB214E" w:rsidRPr="003D3270">
        <w:rPr>
          <w:rFonts w:asciiTheme="minorHAnsi" w:eastAsia="Calibri" w:hAnsiTheme="minorHAnsi" w:cstheme="minorHAnsi"/>
          <w:sz w:val="18"/>
        </w:rPr>
        <w:t>a</w:t>
      </w:r>
      <w:r w:rsidR="008D7331" w:rsidRPr="003D3270">
        <w:rPr>
          <w:rFonts w:asciiTheme="minorHAnsi" w:eastAsia="Calibri" w:hAnsiTheme="minorHAnsi" w:cstheme="minorHAnsi"/>
          <w:sz w:val="18"/>
        </w:rPr>
        <w:t>a</w:t>
      </w:r>
      <w:r w:rsidR="00AC5889" w:rsidRPr="003D3270">
        <w:rPr>
          <w:rFonts w:asciiTheme="minorHAnsi" w:eastAsia="Calibri" w:hAnsiTheme="minorHAnsi" w:cstheme="minorHAnsi"/>
          <w:sz w:val="18"/>
        </w:rPr>
        <w:t>-Confcommercio</w:t>
      </w:r>
      <w:r w:rsidR="00CB214E" w:rsidRPr="003D3270">
        <w:rPr>
          <w:rFonts w:asciiTheme="minorHAnsi" w:eastAsia="Calibri" w:hAnsiTheme="minorHAnsi" w:cstheme="minorHAnsi"/>
          <w:sz w:val="18"/>
        </w:rPr>
        <w:t xml:space="preserve"> </w:t>
      </w:r>
      <w:r w:rsidRPr="003D3270">
        <w:rPr>
          <w:rFonts w:asciiTheme="minorHAnsi" w:eastAsia="Calibri" w:hAnsiTheme="minorHAnsi" w:cstheme="minorHAnsi"/>
          <w:sz w:val="18"/>
        </w:rPr>
        <w:t>su dati Agenzia delle Entrate</w:t>
      </w:r>
    </w:p>
    <w:p w:rsidR="00B23B9D" w:rsidRPr="00264809" w:rsidRDefault="00B23B9D" w:rsidP="00B23B9D">
      <w:pPr>
        <w:rPr>
          <w:rFonts w:asciiTheme="minorHAnsi" w:eastAsia="Calibri" w:hAnsiTheme="minorHAnsi" w:cstheme="minorHAnsi"/>
          <w:sz w:val="22"/>
          <w:szCs w:val="22"/>
        </w:rPr>
      </w:pPr>
    </w:p>
    <w:p w:rsidR="00B23B9D" w:rsidRPr="00264809" w:rsidRDefault="000D7640" w:rsidP="00B23B9D">
      <w:pPr>
        <w:rPr>
          <w:rFonts w:asciiTheme="minorHAnsi" w:eastAsia="Calibri" w:hAnsiTheme="minorHAnsi" w:cstheme="minorHAnsi"/>
          <w:sz w:val="22"/>
          <w:szCs w:val="22"/>
        </w:rPr>
      </w:pPr>
      <w:r w:rsidRPr="00E029FB">
        <w:rPr>
          <w:rFonts w:asciiTheme="minorHAnsi" w:eastAsia="Calibri" w:hAnsiTheme="minorHAnsi" w:cstheme="minorHAnsi"/>
          <w:sz w:val="22"/>
          <w:szCs w:val="22"/>
        </w:rPr>
        <w:t xml:space="preserve">Nonostante questo lieve incremento, </w:t>
      </w:r>
      <w:r w:rsidR="00B23B9D" w:rsidRPr="00E029FB">
        <w:rPr>
          <w:rFonts w:asciiTheme="minorHAnsi" w:eastAsia="Calibri" w:hAnsiTheme="minorHAnsi" w:cstheme="minorHAnsi"/>
          <w:sz w:val="22"/>
          <w:szCs w:val="22"/>
        </w:rPr>
        <w:t>sulle transazioni nel settore immobiliare turistico, oltre al</w:t>
      </w:r>
      <w:r w:rsidR="004670CE" w:rsidRPr="00E029FB">
        <w:rPr>
          <w:rFonts w:asciiTheme="minorHAnsi" w:eastAsia="Calibri" w:hAnsiTheme="minorHAnsi" w:cstheme="minorHAnsi"/>
          <w:sz w:val="22"/>
          <w:szCs w:val="22"/>
        </w:rPr>
        <w:t xml:space="preserve"> ritardo con cui il timido miglioramento </w:t>
      </w:r>
      <w:r w:rsidR="00B23B9D" w:rsidRPr="00E029FB">
        <w:rPr>
          <w:rFonts w:asciiTheme="minorHAnsi" w:eastAsia="Calibri" w:hAnsiTheme="minorHAnsi" w:cstheme="minorHAnsi"/>
          <w:sz w:val="22"/>
          <w:szCs w:val="22"/>
        </w:rPr>
        <w:t>delle prospettive economiche e di settore</w:t>
      </w:r>
      <w:r w:rsidR="007351F6" w:rsidRPr="00E029FB">
        <w:rPr>
          <w:rFonts w:asciiTheme="minorHAnsi" w:eastAsia="Calibri" w:hAnsiTheme="minorHAnsi" w:cstheme="minorHAnsi"/>
          <w:sz w:val="22"/>
          <w:szCs w:val="22"/>
        </w:rPr>
        <w:t xml:space="preserve"> si riflette sugli andamenti</w:t>
      </w:r>
      <w:r w:rsidR="004670CE" w:rsidRPr="00E029FB">
        <w:rPr>
          <w:rFonts w:asciiTheme="minorHAnsi" w:eastAsia="Calibri" w:hAnsiTheme="minorHAnsi" w:cstheme="minorHAnsi"/>
          <w:sz w:val="22"/>
          <w:szCs w:val="22"/>
        </w:rPr>
        <w:t xml:space="preserve"> del segmento</w:t>
      </w:r>
      <w:r w:rsidR="00B23B9D" w:rsidRPr="00E029FB">
        <w:rPr>
          <w:rFonts w:asciiTheme="minorHAnsi" w:eastAsia="Calibri" w:hAnsiTheme="minorHAnsi" w:cstheme="minorHAnsi"/>
          <w:sz w:val="22"/>
          <w:szCs w:val="22"/>
        </w:rPr>
        <w:t xml:space="preserve">, </w:t>
      </w:r>
      <w:r w:rsidRPr="00E029FB">
        <w:rPr>
          <w:rFonts w:asciiTheme="minorHAnsi" w:eastAsia="Calibri" w:hAnsiTheme="minorHAnsi" w:cstheme="minorHAnsi"/>
          <w:sz w:val="22"/>
          <w:szCs w:val="22"/>
        </w:rPr>
        <w:t>continuano ad incidere negativamente</w:t>
      </w:r>
      <w:r w:rsidR="00B23B9D" w:rsidRPr="00264809">
        <w:rPr>
          <w:rFonts w:asciiTheme="minorHAnsi" w:eastAsia="Calibri" w:hAnsiTheme="minorHAnsi" w:cstheme="minorHAnsi"/>
          <w:sz w:val="22"/>
          <w:szCs w:val="22"/>
        </w:rPr>
        <w:t xml:space="preserve"> la perdurante selettività del sistema creditizio (nel 201</w:t>
      </w:r>
      <w:r w:rsidR="004670CE" w:rsidRPr="00264809">
        <w:rPr>
          <w:rFonts w:asciiTheme="minorHAnsi" w:eastAsia="Calibri" w:hAnsiTheme="minorHAnsi" w:cstheme="minorHAnsi"/>
          <w:sz w:val="22"/>
          <w:szCs w:val="22"/>
        </w:rPr>
        <w:t>4</w:t>
      </w:r>
      <w:r w:rsidR="00B23B9D" w:rsidRPr="00264809">
        <w:rPr>
          <w:rFonts w:asciiTheme="minorHAnsi" w:eastAsia="Calibri" w:hAnsiTheme="minorHAnsi" w:cstheme="minorHAnsi"/>
          <w:sz w:val="22"/>
          <w:szCs w:val="22"/>
        </w:rPr>
        <w:t xml:space="preserve"> i mutui erogati a livello nazionale non sono andati oltre i </w:t>
      </w:r>
      <w:r w:rsidR="004F63F3" w:rsidRPr="004F63F3">
        <w:rPr>
          <w:rFonts w:asciiTheme="minorHAnsi" w:eastAsia="Calibri" w:hAnsiTheme="minorHAnsi" w:cstheme="minorHAnsi"/>
          <w:sz w:val="22"/>
          <w:szCs w:val="22"/>
        </w:rPr>
        <w:t xml:space="preserve">24,157 </w:t>
      </w:r>
      <w:r w:rsidR="00B23B9D" w:rsidRPr="004F63F3">
        <w:rPr>
          <w:rFonts w:asciiTheme="minorHAnsi" w:eastAsia="Calibri" w:hAnsiTheme="minorHAnsi" w:cstheme="minorHAnsi"/>
          <w:sz w:val="22"/>
          <w:szCs w:val="22"/>
        </w:rPr>
        <w:t>miliardi di euro</w:t>
      </w:r>
      <w:r w:rsidR="00B23B9D" w:rsidRPr="00264809">
        <w:rPr>
          <w:rFonts w:asciiTheme="minorHAnsi" w:eastAsia="Calibri" w:hAnsiTheme="minorHAnsi" w:cstheme="minorHAnsi"/>
          <w:sz w:val="22"/>
          <w:szCs w:val="22"/>
        </w:rPr>
        <w:t xml:space="preserve">, vale a dire circa un terzo delle erogazioni concesse nel 2006) e la crescente </w:t>
      </w:r>
      <w:r w:rsidR="004670CE" w:rsidRPr="00264809">
        <w:rPr>
          <w:rFonts w:asciiTheme="minorHAnsi" w:eastAsia="Calibri" w:hAnsiTheme="minorHAnsi" w:cstheme="minorHAnsi"/>
          <w:sz w:val="22"/>
          <w:szCs w:val="22"/>
        </w:rPr>
        <w:t>incidenza</w:t>
      </w:r>
      <w:r w:rsidR="00B23B9D" w:rsidRPr="00264809">
        <w:rPr>
          <w:rFonts w:asciiTheme="minorHAnsi" w:eastAsia="Calibri" w:hAnsiTheme="minorHAnsi" w:cstheme="minorHAnsi"/>
          <w:sz w:val="22"/>
          <w:szCs w:val="22"/>
        </w:rPr>
        <w:t xml:space="preserve"> del carico fiscale.</w:t>
      </w:r>
    </w:p>
    <w:p w:rsidR="00B23B9D" w:rsidRPr="00264809" w:rsidRDefault="00B23B9D" w:rsidP="00B23B9D">
      <w:pPr>
        <w:rPr>
          <w:rFonts w:asciiTheme="minorHAnsi" w:eastAsia="Calibri" w:hAnsiTheme="minorHAnsi" w:cstheme="minorHAnsi"/>
          <w:color w:val="FF0000"/>
          <w:sz w:val="22"/>
          <w:szCs w:val="22"/>
        </w:rPr>
      </w:pPr>
      <w:r w:rsidRPr="00264809">
        <w:rPr>
          <w:rFonts w:asciiTheme="minorHAnsi" w:eastAsia="Calibri" w:hAnsiTheme="minorHAnsi" w:cstheme="minorHAnsi"/>
          <w:sz w:val="22"/>
          <w:szCs w:val="22"/>
        </w:rPr>
        <w:t>Al peso della fiscalità diretta si aggiung</w:t>
      </w:r>
      <w:r w:rsidR="004670CE" w:rsidRPr="00264809">
        <w:rPr>
          <w:rFonts w:asciiTheme="minorHAnsi" w:eastAsia="Calibri" w:hAnsiTheme="minorHAnsi" w:cstheme="minorHAnsi"/>
          <w:sz w:val="22"/>
          <w:szCs w:val="22"/>
        </w:rPr>
        <w:t>ono</w:t>
      </w:r>
      <w:r w:rsidR="007351F6" w:rsidRPr="00264809">
        <w:rPr>
          <w:rFonts w:asciiTheme="minorHAnsi" w:eastAsia="Calibri" w:hAnsiTheme="minorHAnsi" w:cstheme="minorHAnsi"/>
          <w:sz w:val="22"/>
          <w:szCs w:val="22"/>
        </w:rPr>
        <w:t xml:space="preserve"> le conseguenze delle verifiche reddituali </w:t>
      </w:r>
      <w:r w:rsidRPr="00264809">
        <w:rPr>
          <w:rFonts w:asciiTheme="minorHAnsi" w:eastAsia="Calibri" w:hAnsiTheme="minorHAnsi" w:cstheme="minorHAnsi"/>
          <w:sz w:val="22"/>
          <w:szCs w:val="22"/>
        </w:rPr>
        <w:t xml:space="preserve">riconducibili alla capacità segnaletica di ricchezza associata agli immobili, </w:t>
      </w:r>
      <w:r w:rsidR="007351F6" w:rsidRPr="00264809">
        <w:rPr>
          <w:rFonts w:asciiTheme="minorHAnsi" w:eastAsia="Calibri" w:hAnsiTheme="minorHAnsi" w:cstheme="minorHAnsi"/>
          <w:sz w:val="22"/>
          <w:szCs w:val="22"/>
        </w:rPr>
        <w:t xml:space="preserve">tali da favorire negli ultimi anni </w:t>
      </w:r>
      <w:r w:rsidRPr="00264809">
        <w:rPr>
          <w:rFonts w:asciiTheme="minorHAnsi" w:eastAsia="Calibri" w:hAnsiTheme="minorHAnsi" w:cstheme="minorHAnsi"/>
          <w:sz w:val="22"/>
          <w:szCs w:val="22"/>
        </w:rPr>
        <w:t>iniziative di disinvestimento</w:t>
      </w:r>
      <w:r w:rsidR="007351F6" w:rsidRPr="00264809">
        <w:rPr>
          <w:rFonts w:asciiTheme="minorHAnsi" w:eastAsia="Calibri" w:hAnsiTheme="minorHAnsi" w:cstheme="minorHAnsi"/>
          <w:sz w:val="22"/>
          <w:szCs w:val="22"/>
        </w:rPr>
        <w:t xml:space="preserve"> non unicamente basate da esigenze di sostituzione o realizzo</w:t>
      </w:r>
      <w:r w:rsidRPr="00264809">
        <w:rPr>
          <w:rFonts w:asciiTheme="minorHAnsi" w:eastAsia="Calibri" w:hAnsiTheme="minorHAnsi" w:cstheme="minorHAnsi"/>
          <w:sz w:val="22"/>
          <w:szCs w:val="22"/>
        </w:rPr>
        <w:t>. Tali fattori hanno esercitato un'ulteriore pressione ribassista sui prezzi, i cui margini di ridimensionamento, alla luce del</w:t>
      </w:r>
      <w:r w:rsidR="007351F6" w:rsidRPr="00264809">
        <w:rPr>
          <w:rFonts w:asciiTheme="minorHAnsi" w:eastAsia="Calibri" w:hAnsiTheme="minorHAnsi" w:cstheme="minorHAnsi"/>
          <w:sz w:val="22"/>
          <w:szCs w:val="22"/>
        </w:rPr>
        <w:t xml:space="preserve"> ritardo con cui le dinamiche recessive hanno interessato il compart</w:t>
      </w:r>
      <w:r w:rsidRPr="00264809">
        <w:rPr>
          <w:rFonts w:asciiTheme="minorHAnsi" w:eastAsia="Calibri" w:hAnsiTheme="minorHAnsi" w:cstheme="minorHAnsi"/>
          <w:sz w:val="22"/>
          <w:szCs w:val="22"/>
        </w:rPr>
        <w:t>o, non possono ancora dirsi del tutto esauriti</w:t>
      </w:r>
      <w:r w:rsidRPr="00264809">
        <w:rPr>
          <w:rFonts w:asciiTheme="minorHAnsi" w:eastAsia="Calibri" w:hAnsiTheme="minorHAnsi" w:cstheme="minorHAnsi"/>
          <w:color w:val="FF0000"/>
          <w:sz w:val="22"/>
          <w:szCs w:val="22"/>
        </w:rPr>
        <w:t>.</w:t>
      </w:r>
    </w:p>
    <w:p w:rsidR="00B23B9D" w:rsidRPr="00264809" w:rsidRDefault="00B23B9D" w:rsidP="00364602">
      <w:pPr>
        <w:rPr>
          <w:rFonts w:asciiTheme="minorHAnsi" w:eastAsia="Calibri" w:hAnsiTheme="minorHAnsi" w:cstheme="minorHAnsi"/>
          <w:sz w:val="22"/>
          <w:szCs w:val="22"/>
        </w:rPr>
      </w:pPr>
    </w:p>
    <w:p w:rsidR="006344E1" w:rsidRDefault="00B23B9D" w:rsidP="00364602">
      <w:pPr>
        <w:rPr>
          <w:rFonts w:asciiTheme="minorHAnsi" w:eastAsia="Calibri" w:hAnsiTheme="minorHAnsi" w:cstheme="minorHAnsi"/>
          <w:sz w:val="22"/>
          <w:szCs w:val="22"/>
        </w:rPr>
      </w:pPr>
      <w:r w:rsidRPr="003D3270">
        <w:rPr>
          <w:rFonts w:asciiTheme="minorHAnsi" w:eastAsia="Calibri" w:hAnsiTheme="minorHAnsi" w:cstheme="minorHAnsi"/>
          <w:sz w:val="22"/>
          <w:szCs w:val="22"/>
        </w:rPr>
        <w:t>A questo proposito</w:t>
      </w:r>
      <w:r w:rsidR="0089484C">
        <w:rPr>
          <w:rFonts w:asciiTheme="minorHAnsi" w:eastAsia="Calibri" w:hAnsiTheme="minorHAnsi" w:cstheme="minorHAnsi"/>
          <w:sz w:val="22"/>
          <w:szCs w:val="22"/>
        </w:rPr>
        <w:t>,</w:t>
      </w:r>
      <w:r w:rsidRPr="003D3270">
        <w:rPr>
          <w:rFonts w:asciiTheme="minorHAnsi" w:eastAsia="Calibri" w:hAnsiTheme="minorHAnsi" w:cstheme="minorHAnsi"/>
          <w:sz w:val="22"/>
          <w:szCs w:val="22"/>
        </w:rPr>
        <w:t xml:space="preserve"> i</w:t>
      </w:r>
      <w:r w:rsidR="00730030" w:rsidRPr="003D3270">
        <w:rPr>
          <w:rFonts w:asciiTheme="minorHAnsi" w:eastAsia="Calibri" w:hAnsiTheme="minorHAnsi" w:cstheme="minorHAnsi"/>
          <w:sz w:val="22"/>
          <w:szCs w:val="22"/>
        </w:rPr>
        <w:t>l segmento turistico delle case per vacanza è stato investito da una riduzione de</w:t>
      </w:r>
      <w:r w:rsidR="000D69E5" w:rsidRPr="003D3270">
        <w:rPr>
          <w:rFonts w:asciiTheme="minorHAnsi" w:eastAsia="Calibri" w:hAnsiTheme="minorHAnsi" w:cstheme="minorHAnsi"/>
          <w:sz w:val="22"/>
          <w:szCs w:val="22"/>
        </w:rPr>
        <w:t>i</w:t>
      </w:r>
      <w:r w:rsidR="00730030" w:rsidRPr="003D3270">
        <w:rPr>
          <w:rFonts w:asciiTheme="minorHAnsi" w:eastAsia="Calibri" w:hAnsiTheme="minorHAnsi" w:cstheme="minorHAnsi"/>
          <w:sz w:val="22"/>
          <w:szCs w:val="22"/>
        </w:rPr>
        <w:t xml:space="preserve"> prezzi di vendita </w:t>
      </w:r>
      <w:r w:rsidR="00F63B06" w:rsidRPr="003D3270">
        <w:rPr>
          <w:rFonts w:asciiTheme="minorHAnsi" w:eastAsia="Calibri" w:hAnsiTheme="minorHAnsi" w:cstheme="minorHAnsi"/>
          <w:sz w:val="22"/>
          <w:szCs w:val="22"/>
        </w:rPr>
        <w:t xml:space="preserve">leggermente </w:t>
      </w:r>
      <w:r w:rsidR="00730030" w:rsidRPr="003D3270">
        <w:rPr>
          <w:rFonts w:asciiTheme="minorHAnsi" w:eastAsia="Calibri" w:hAnsiTheme="minorHAnsi" w:cstheme="minorHAnsi"/>
          <w:sz w:val="22"/>
          <w:szCs w:val="22"/>
        </w:rPr>
        <w:t xml:space="preserve">più elevata rispetto alla flessione media registrata </w:t>
      </w:r>
      <w:r w:rsidR="00F63B06" w:rsidRPr="003D3270">
        <w:rPr>
          <w:rFonts w:asciiTheme="minorHAnsi" w:eastAsia="Calibri" w:hAnsiTheme="minorHAnsi" w:cstheme="minorHAnsi"/>
          <w:sz w:val="22"/>
          <w:szCs w:val="22"/>
        </w:rPr>
        <w:t xml:space="preserve">dal settore </w:t>
      </w:r>
      <w:r w:rsidR="00730030" w:rsidRPr="003D3270">
        <w:rPr>
          <w:rFonts w:asciiTheme="minorHAnsi" w:eastAsia="Calibri" w:hAnsiTheme="minorHAnsi" w:cstheme="minorHAnsi"/>
          <w:sz w:val="22"/>
          <w:szCs w:val="22"/>
        </w:rPr>
        <w:t>a livello nazionale.</w:t>
      </w:r>
    </w:p>
    <w:p w:rsidR="00730030" w:rsidRPr="006344E1" w:rsidRDefault="00730030" w:rsidP="00364602">
      <w:pPr>
        <w:rPr>
          <w:rFonts w:asciiTheme="minorHAnsi" w:eastAsia="Calibri" w:hAnsiTheme="minorHAnsi" w:cstheme="minorHAnsi"/>
          <w:spacing w:val="-2"/>
          <w:sz w:val="22"/>
          <w:szCs w:val="22"/>
        </w:rPr>
      </w:pPr>
      <w:r w:rsidRPr="006344E1">
        <w:rPr>
          <w:rFonts w:asciiTheme="minorHAnsi" w:eastAsia="Calibri" w:hAnsiTheme="minorHAnsi" w:cstheme="minorHAnsi"/>
          <w:spacing w:val="-2"/>
          <w:sz w:val="22"/>
          <w:szCs w:val="22"/>
        </w:rPr>
        <w:t>Il dato medio, sintesi dei mercati top, centrali e periferici delle singole località turistiche monitorate, segna un -</w:t>
      </w:r>
      <w:r w:rsidR="007D32E8" w:rsidRPr="006344E1">
        <w:rPr>
          <w:rFonts w:asciiTheme="minorHAnsi" w:eastAsia="Calibri" w:hAnsiTheme="minorHAnsi" w:cstheme="minorHAnsi"/>
          <w:spacing w:val="-2"/>
          <w:sz w:val="22"/>
          <w:szCs w:val="22"/>
        </w:rPr>
        <w:t>5,0</w:t>
      </w:r>
      <w:r w:rsidRPr="006344E1">
        <w:rPr>
          <w:rFonts w:asciiTheme="minorHAnsi" w:eastAsia="Calibri" w:hAnsiTheme="minorHAnsi" w:cstheme="minorHAnsi"/>
          <w:spacing w:val="-2"/>
          <w:sz w:val="22"/>
          <w:szCs w:val="22"/>
        </w:rPr>
        <w:t>% annuo, con un campo di oscillazione</w:t>
      </w:r>
      <w:r w:rsidR="00E22790" w:rsidRPr="006344E1">
        <w:rPr>
          <w:rFonts w:asciiTheme="minorHAnsi" w:eastAsia="Calibri" w:hAnsiTheme="minorHAnsi" w:cstheme="minorHAnsi"/>
          <w:spacing w:val="-2"/>
          <w:sz w:val="22"/>
          <w:szCs w:val="22"/>
        </w:rPr>
        <w:t>,</w:t>
      </w:r>
      <w:r w:rsidRPr="006344E1">
        <w:rPr>
          <w:rFonts w:asciiTheme="minorHAnsi" w:eastAsia="Calibri" w:hAnsiTheme="minorHAnsi" w:cstheme="minorHAnsi"/>
          <w:spacing w:val="-2"/>
          <w:sz w:val="22"/>
          <w:szCs w:val="22"/>
        </w:rPr>
        <w:t xml:space="preserve"> in funzione della tipologia abitativa</w:t>
      </w:r>
      <w:r w:rsidR="00E22790" w:rsidRPr="006344E1">
        <w:rPr>
          <w:rFonts w:asciiTheme="minorHAnsi" w:eastAsia="Calibri" w:hAnsiTheme="minorHAnsi" w:cstheme="minorHAnsi"/>
          <w:spacing w:val="-2"/>
          <w:sz w:val="22"/>
          <w:szCs w:val="22"/>
        </w:rPr>
        <w:t>,</w:t>
      </w:r>
      <w:r w:rsidRPr="006344E1">
        <w:rPr>
          <w:rFonts w:asciiTheme="minorHAnsi" w:eastAsia="Calibri" w:hAnsiTheme="minorHAnsi" w:cstheme="minorHAnsi"/>
          <w:spacing w:val="-2"/>
          <w:sz w:val="22"/>
          <w:szCs w:val="22"/>
        </w:rPr>
        <w:t xml:space="preserve"> compreso tra -</w:t>
      </w:r>
      <w:r w:rsidR="007B44FF" w:rsidRPr="006344E1">
        <w:rPr>
          <w:rFonts w:asciiTheme="minorHAnsi" w:eastAsia="Calibri" w:hAnsiTheme="minorHAnsi" w:cstheme="minorHAnsi"/>
          <w:spacing w:val="-2"/>
          <w:sz w:val="22"/>
          <w:szCs w:val="22"/>
        </w:rPr>
        <w:t>3,</w:t>
      </w:r>
      <w:r w:rsidR="007D32E8" w:rsidRPr="006344E1">
        <w:rPr>
          <w:rFonts w:asciiTheme="minorHAnsi" w:eastAsia="Calibri" w:hAnsiTheme="minorHAnsi" w:cstheme="minorHAnsi"/>
          <w:spacing w:val="-2"/>
          <w:sz w:val="22"/>
          <w:szCs w:val="22"/>
        </w:rPr>
        <w:t>2</w:t>
      </w:r>
      <w:r w:rsidRPr="006344E1">
        <w:rPr>
          <w:rFonts w:asciiTheme="minorHAnsi" w:eastAsia="Calibri" w:hAnsiTheme="minorHAnsi" w:cstheme="minorHAnsi"/>
          <w:spacing w:val="-2"/>
          <w:sz w:val="22"/>
          <w:szCs w:val="22"/>
        </w:rPr>
        <w:t>%</w:t>
      </w:r>
      <w:r w:rsidR="007B44FF" w:rsidRPr="006344E1">
        <w:rPr>
          <w:rFonts w:asciiTheme="minorHAnsi" w:eastAsia="Calibri" w:hAnsiTheme="minorHAnsi" w:cstheme="minorHAnsi"/>
          <w:spacing w:val="-2"/>
          <w:sz w:val="22"/>
          <w:szCs w:val="22"/>
        </w:rPr>
        <w:t xml:space="preserve"> e </w:t>
      </w:r>
      <w:r w:rsidRPr="006344E1">
        <w:rPr>
          <w:rFonts w:asciiTheme="minorHAnsi" w:eastAsia="Calibri" w:hAnsiTheme="minorHAnsi" w:cstheme="minorHAnsi"/>
          <w:spacing w:val="-2"/>
          <w:sz w:val="22"/>
          <w:szCs w:val="22"/>
        </w:rPr>
        <w:t>-</w:t>
      </w:r>
      <w:r w:rsidR="007D32E8" w:rsidRPr="006344E1">
        <w:rPr>
          <w:rFonts w:asciiTheme="minorHAnsi" w:eastAsia="Calibri" w:hAnsiTheme="minorHAnsi" w:cstheme="minorHAnsi"/>
          <w:spacing w:val="-2"/>
          <w:sz w:val="22"/>
          <w:szCs w:val="22"/>
        </w:rPr>
        <w:t>7</w:t>
      </w:r>
      <w:r w:rsidR="007B44FF" w:rsidRPr="006344E1">
        <w:rPr>
          <w:rFonts w:asciiTheme="minorHAnsi" w:eastAsia="Calibri" w:hAnsiTheme="minorHAnsi" w:cstheme="minorHAnsi"/>
          <w:spacing w:val="-2"/>
          <w:sz w:val="22"/>
          <w:szCs w:val="22"/>
        </w:rPr>
        <w:t>,</w:t>
      </w:r>
      <w:r w:rsidR="007D32E8" w:rsidRPr="006344E1">
        <w:rPr>
          <w:rFonts w:asciiTheme="minorHAnsi" w:eastAsia="Calibri" w:hAnsiTheme="minorHAnsi" w:cstheme="minorHAnsi"/>
          <w:spacing w:val="-2"/>
          <w:sz w:val="22"/>
          <w:szCs w:val="22"/>
        </w:rPr>
        <w:t>1</w:t>
      </w:r>
      <w:r w:rsidRPr="006344E1">
        <w:rPr>
          <w:rFonts w:asciiTheme="minorHAnsi" w:eastAsia="Calibri" w:hAnsiTheme="minorHAnsi" w:cstheme="minorHAnsi"/>
          <w:spacing w:val="-2"/>
          <w:sz w:val="22"/>
          <w:szCs w:val="22"/>
        </w:rPr>
        <w:t>%.</w:t>
      </w:r>
      <w:r w:rsidR="004B5739" w:rsidRPr="006344E1">
        <w:rPr>
          <w:rFonts w:asciiTheme="minorHAnsi" w:hAnsiTheme="minorHAnsi" w:cs="Arial"/>
          <w:spacing w:val="-2"/>
          <w:sz w:val="18"/>
          <w:szCs w:val="18"/>
        </w:rPr>
        <w:t xml:space="preserve"> </w:t>
      </w:r>
    </w:p>
    <w:p w:rsidR="003678A4" w:rsidRPr="003D3270" w:rsidRDefault="003678A4" w:rsidP="00364602">
      <w:pPr>
        <w:rPr>
          <w:rFonts w:asciiTheme="minorHAnsi" w:eastAsia="Calibri" w:hAnsiTheme="minorHAnsi" w:cstheme="minorHAnsi"/>
          <w:sz w:val="22"/>
          <w:szCs w:val="22"/>
        </w:rPr>
      </w:pPr>
    </w:p>
    <w:p w:rsidR="00F63B06" w:rsidRDefault="003678A4" w:rsidP="008D7331">
      <w:pPr>
        <w:spacing w:after="120"/>
        <w:rPr>
          <w:rFonts w:asciiTheme="minorHAnsi" w:eastAsia="Calibri" w:hAnsiTheme="minorHAnsi" w:cstheme="minorHAnsi"/>
          <w:sz w:val="22"/>
          <w:szCs w:val="22"/>
        </w:rPr>
      </w:pPr>
      <w:r w:rsidRPr="003D3270">
        <w:rPr>
          <w:rFonts w:asciiTheme="minorHAnsi" w:eastAsia="Calibri" w:hAnsiTheme="minorHAnsi" w:cstheme="minorHAnsi"/>
          <w:sz w:val="22"/>
          <w:szCs w:val="22"/>
        </w:rPr>
        <w:t>La variabilità della flessione dei prezzi in rapporto alla localizzazione è</w:t>
      </w:r>
      <w:r w:rsidR="005013C2" w:rsidRPr="003D3270">
        <w:rPr>
          <w:rFonts w:asciiTheme="minorHAnsi" w:eastAsia="Calibri" w:hAnsiTheme="minorHAnsi" w:cstheme="minorHAnsi"/>
          <w:sz w:val="22"/>
          <w:szCs w:val="22"/>
        </w:rPr>
        <w:t xml:space="preserve"> espressa</w:t>
      </w:r>
      <w:r w:rsidRPr="003D3270">
        <w:rPr>
          <w:rFonts w:asciiTheme="minorHAnsi" w:eastAsia="Calibri" w:hAnsiTheme="minorHAnsi" w:cstheme="minorHAnsi"/>
          <w:sz w:val="22"/>
          <w:szCs w:val="22"/>
        </w:rPr>
        <w:t xml:space="preserve"> da questa scala</w:t>
      </w:r>
      <w:r w:rsidR="00F63B06" w:rsidRPr="003D3270">
        <w:rPr>
          <w:rFonts w:asciiTheme="minorHAnsi" w:eastAsia="Calibri" w:hAnsiTheme="minorHAnsi" w:cstheme="minorHAnsi"/>
          <w:sz w:val="22"/>
          <w:szCs w:val="22"/>
        </w:rPr>
        <w:t>,</w:t>
      </w:r>
      <w:r w:rsidRPr="003D3270">
        <w:rPr>
          <w:rFonts w:asciiTheme="minorHAnsi" w:eastAsia="Calibri" w:hAnsiTheme="minorHAnsi" w:cstheme="minorHAnsi"/>
          <w:sz w:val="22"/>
          <w:szCs w:val="22"/>
        </w:rPr>
        <w:t xml:space="preserve"> dove sono posizionate le regioni </w:t>
      </w:r>
      <w:r w:rsidR="00F63B06" w:rsidRPr="003D3270">
        <w:rPr>
          <w:rFonts w:asciiTheme="minorHAnsi" w:eastAsia="Calibri" w:hAnsiTheme="minorHAnsi" w:cstheme="minorHAnsi"/>
          <w:sz w:val="22"/>
          <w:szCs w:val="22"/>
        </w:rPr>
        <w:t>le cui località turistiche sono state oggetto di monitoraggio:</w:t>
      </w:r>
    </w:p>
    <w:p w:rsidR="000D7640" w:rsidRPr="000D7640" w:rsidRDefault="000D7640" w:rsidP="008D7331">
      <w:pPr>
        <w:spacing w:after="120"/>
        <w:rPr>
          <w:rFonts w:asciiTheme="minorHAnsi" w:eastAsia="Calibri" w:hAnsiTheme="minorHAnsi" w:cstheme="minorHAnsi"/>
          <w:b/>
          <w:sz w:val="20"/>
        </w:rPr>
      </w:pPr>
      <w:r w:rsidRPr="000D7640">
        <w:rPr>
          <w:rFonts w:asciiTheme="minorHAnsi" w:eastAsia="Calibri" w:hAnsiTheme="minorHAnsi" w:cstheme="minorHAnsi"/>
          <w:b/>
          <w:sz w:val="20"/>
          <w:highlight w:val="yellow"/>
        </w:rPr>
        <w:t>Tavola 3</w:t>
      </w:r>
    </w:p>
    <w:tbl>
      <w:tblPr>
        <w:tblW w:w="8643" w:type="dxa"/>
        <w:tblInd w:w="65" w:type="dxa"/>
        <w:tblCellMar>
          <w:left w:w="70" w:type="dxa"/>
          <w:right w:w="70" w:type="dxa"/>
        </w:tblCellMar>
        <w:tblLook w:val="04A0" w:firstRow="1" w:lastRow="0" w:firstColumn="1" w:lastColumn="0" w:noHBand="0" w:noVBand="1"/>
      </w:tblPr>
      <w:tblGrid>
        <w:gridCol w:w="734"/>
        <w:gridCol w:w="735"/>
        <w:gridCol w:w="828"/>
        <w:gridCol w:w="2340"/>
        <w:gridCol w:w="1605"/>
        <w:gridCol w:w="1701"/>
        <w:gridCol w:w="700"/>
      </w:tblGrid>
      <w:tr w:rsidR="007D32E8" w:rsidRPr="003D3270" w:rsidTr="004B5739">
        <w:trPr>
          <w:trHeight w:val="283"/>
        </w:trPr>
        <w:tc>
          <w:tcPr>
            <w:tcW w:w="73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D32E8" w:rsidRPr="003D3270" w:rsidRDefault="007D32E8" w:rsidP="007D32E8">
            <w:pPr>
              <w:jc w:val="center"/>
              <w:rPr>
                <w:rFonts w:asciiTheme="minorHAnsi" w:hAnsiTheme="minorHAnsi" w:cs="Arial"/>
                <w:b/>
                <w:bCs/>
                <w:sz w:val="18"/>
                <w:szCs w:val="18"/>
              </w:rPr>
            </w:pPr>
            <w:r w:rsidRPr="003D3270">
              <w:rPr>
                <w:rFonts w:asciiTheme="minorHAnsi" w:hAnsiTheme="minorHAnsi" w:cs="Arial"/>
                <w:b/>
                <w:bCs/>
                <w:sz w:val="18"/>
                <w:szCs w:val="18"/>
              </w:rPr>
              <w:t>-9%</w:t>
            </w:r>
          </w:p>
        </w:tc>
        <w:tc>
          <w:tcPr>
            <w:tcW w:w="735" w:type="dxa"/>
            <w:tcBorders>
              <w:top w:val="single" w:sz="4" w:space="0" w:color="auto"/>
              <w:left w:val="nil"/>
              <w:bottom w:val="single" w:sz="4" w:space="0" w:color="auto"/>
              <w:right w:val="single" w:sz="4" w:space="0" w:color="auto"/>
            </w:tcBorders>
            <w:shd w:val="clear" w:color="000000" w:fill="C5D9F1"/>
            <w:noWrap/>
            <w:vAlign w:val="center"/>
            <w:hideMark/>
          </w:tcPr>
          <w:p w:rsidR="007D32E8" w:rsidRPr="003D3270" w:rsidRDefault="007D32E8" w:rsidP="007D32E8">
            <w:pPr>
              <w:jc w:val="center"/>
              <w:rPr>
                <w:rFonts w:asciiTheme="minorHAnsi" w:hAnsiTheme="minorHAnsi" w:cs="Arial"/>
                <w:b/>
                <w:bCs/>
                <w:sz w:val="18"/>
                <w:szCs w:val="18"/>
              </w:rPr>
            </w:pPr>
            <w:r w:rsidRPr="003D3270">
              <w:rPr>
                <w:rFonts w:asciiTheme="minorHAnsi" w:hAnsiTheme="minorHAnsi" w:cs="Arial"/>
                <w:b/>
                <w:bCs/>
                <w:sz w:val="18"/>
                <w:szCs w:val="18"/>
              </w:rPr>
              <w:t>-7,5%</w:t>
            </w:r>
          </w:p>
        </w:tc>
        <w:tc>
          <w:tcPr>
            <w:tcW w:w="828" w:type="dxa"/>
            <w:tcBorders>
              <w:top w:val="single" w:sz="4" w:space="0" w:color="auto"/>
              <w:left w:val="nil"/>
              <w:bottom w:val="single" w:sz="4" w:space="0" w:color="auto"/>
              <w:right w:val="single" w:sz="4" w:space="0" w:color="auto"/>
            </w:tcBorders>
            <w:shd w:val="clear" w:color="000000" w:fill="C5D9F1"/>
            <w:noWrap/>
            <w:vAlign w:val="center"/>
            <w:hideMark/>
          </w:tcPr>
          <w:p w:rsidR="007D32E8" w:rsidRPr="003D3270" w:rsidRDefault="007D32E8" w:rsidP="007D32E8">
            <w:pPr>
              <w:jc w:val="center"/>
              <w:rPr>
                <w:rFonts w:asciiTheme="minorHAnsi" w:hAnsiTheme="minorHAnsi" w:cs="Arial"/>
                <w:b/>
                <w:bCs/>
                <w:sz w:val="18"/>
                <w:szCs w:val="18"/>
              </w:rPr>
            </w:pPr>
            <w:r w:rsidRPr="003D3270">
              <w:rPr>
                <w:rFonts w:asciiTheme="minorHAnsi" w:hAnsiTheme="minorHAnsi" w:cs="Arial"/>
                <w:b/>
                <w:bCs/>
                <w:sz w:val="18"/>
                <w:szCs w:val="18"/>
              </w:rPr>
              <w:t>-6%</w:t>
            </w:r>
          </w:p>
        </w:tc>
        <w:tc>
          <w:tcPr>
            <w:tcW w:w="2340" w:type="dxa"/>
            <w:tcBorders>
              <w:top w:val="single" w:sz="4" w:space="0" w:color="auto"/>
              <w:left w:val="nil"/>
              <w:bottom w:val="single" w:sz="4" w:space="0" w:color="auto"/>
              <w:right w:val="nil"/>
            </w:tcBorders>
            <w:shd w:val="clear" w:color="000000" w:fill="1F497D"/>
            <w:vAlign w:val="center"/>
            <w:hideMark/>
          </w:tcPr>
          <w:p w:rsidR="007D32E8" w:rsidRPr="003D3270" w:rsidRDefault="007D32E8" w:rsidP="007D32E8">
            <w:pPr>
              <w:jc w:val="center"/>
              <w:rPr>
                <w:rFonts w:asciiTheme="minorHAnsi" w:hAnsiTheme="minorHAnsi" w:cs="Arial"/>
                <w:b/>
                <w:bCs/>
                <w:color w:val="FFFFFF" w:themeColor="background1"/>
                <w:sz w:val="18"/>
                <w:szCs w:val="18"/>
              </w:rPr>
            </w:pPr>
            <w:r w:rsidRPr="003D3270">
              <w:rPr>
                <w:rFonts w:asciiTheme="minorHAnsi" w:hAnsiTheme="minorHAnsi" w:cs="Arial"/>
                <w:b/>
                <w:bCs/>
                <w:color w:val="FFFFFF" w:themeColor="background1"/>
                <w:sz w:val="18"/>
                <w:szCs w:val="18"/>
              </w:rPr>
              <w:t>Media località turistiche: -5%</w:t>
            </w:r>
          </w:p>
        </w:tc>
        <w:tc>
          <w:tcPr>
            <w:tcW w:w="16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D32E8" w:rsidRPr="003D3270" w:rsidRDefault="007D32E8" w:rsidP="007D32E8">
            <w:pPr>
              <w:jc w:val="center"/>
              <w:rPr>
                <w:rFonts w:asciiTheme="minorHAnsi" w:hAnsiTheme="minorHAnsi" w:cs="Arial"/>
                <w:b/>
                <w:bCs/>
                <w:sz w:val="18"/>
                <w:szCs w:val="18"/>
              </w:rPr>
            </w:pPr>
            <w:r w:rsidRPr="003D3270">
              <w:rPr>
                <w:rFonts w:asciiTheme="minorHAnsi" w:hAnsiTheme="minorHAnsi" w:cs="Arial"/>
                <w:b/>
                <w:bCs/>
                <w:sz w:val="18"/>
                <w:szCs w:val="18"/>
              </w:rPr>
              <w:t>-4%</w:t>
            </w:r>
          </w:p>
        </w:tc>
        <w:tc>
          <w:tcPr>
            <w:tcW w:w="1701" w:type="dxa"/>
            <w:tcBorders>
              <w:top w:val="single" w:sz="4" w:space="0" w:color="auto"/>
              <w:left w:val="nil"/>
              <w:bottom w:val="single" w:sz="4" w:space="0" w:color="auto"/>
              <w:right w:val="nil"/>
            </w:tcBorders>
            <w:shd w:val="clear" w:color="000000" w:fill="C5D9F1"/>
            <w:noWrap/>
            <w:vAlign w:val="center"/>
            <w:hideMark/>
          </w:tcPr>
          <w:p w:rsidR="007D32E8" w:rsidRPr="003D3270" w:rsidRDefault="007D32E8" w:rsidP="007D32E8">
            <w:pPr>
              <w:jc w:val="center"/>
              <w:rPr>
                <w:rFonts w:asciiTheme="minorHAnsi" w:hAnsiTheme="minorHAnsi" w:cs="Arial"/>
                <w:b/>
                <w:bCs/>
                <w:sz w:val="18"/>
                <w:szCs w:val="18"/>
              </w:rPr>
            </w:pPr>
            <w:r w:rsidRPr="003D3270">
              <w:rPr>
                <w:rFonts w:asciiTheme="minorHAnsi" w:hAnsiTheme="minorHAnsi" w:cs="Arial"/>
                <w:b/>
                <w:bCs/>
                <w:sz w:val="18"/>
                <w:szCs w:val="18"/>
              </w:rPr>
              <w:t>-3%</w:t>
            </w:r>
          </w:p>
        </w:tc>
        <w:tc>
          <w:tcPr>
            <w:tcW w:w="70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D32E8" w:rsidRPr="003D3270" w:rsidRDefault="007D32E8" w:rsidP="007D32E8">
            <w:pPr>
              <w:jc w:val="center"/>
              <w:rPr>
                <w:rFonts w:asciiTheme="minorHAnsi" w:hAnsiTheme="minorHAnsi" w:cs="Arial"/>
                <w:b/>
                <w:bCs/>
                <w:sz w:val="18"/>
                <w:szCs w:val="18"/>
              </w:rPr>
            </w:pPr>
            <w:r w:rsidRPr="003D3270">
              <w:rPr>
                <w:rFonts w:asciiTheme="minorHAnsi" w:hAnsiTheme="minorHAnsi" w:cs="Arial"/>
                <w:b/>
                <w:bCs/>
                <w:sz w:val="18"/>
                <w:szCs w:val="18"/>
              </w:rPr>
              <w:t>-1%</w:t>
            </w:r>
          </w:p>
        </w:tc>
      </w:tr>
      <w:tr w:rsidR="004B5739" w:rsidRPr="003D3270" w:rsidTr="004B5739">
        <w:trPr>
          <w:trHeight w:val="283"/>
        </w:trPr>
        <w:tc>
          <w:tcPr>
            <w:tcW w:w="734" w:type="dxa"/>
            <w:tcBorders>
              <w:top w:val="nil"/>
              <w:left w:val="single" w:sz="4" w:space="0" w:color="auto"/>
              <w:bottom w:val="nil"/>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Abruzzo</w:t>
            </w:r>
          </w:p>
        </w:tc>
        <w:tc>
          <w:tcPr>
            <w:tcW w:w="735" w:type="dxa"/>
            <w:tcBorders>
              <w:top w:val="nil"/>
              <w:left w:val="nil"/>
              <w:bottom w:val="nil"/>
              <w:right w:val="single" w:sz="4" w:space="0" w:color="auto"/>
            </w:tcBorders>
            <w:shd w:val="clear" w:color="auto" w:fill="auto"/>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Calabria</w:t>
            </w:r>
          </w:p>
        </w:tc>
        <w:tc>
          <w:tcPr>
            <w:tcW w:w="828" w:type="dxa"/>
            <w:tcBorders>
              <w:top w:val="nil"/>
              <w:left w:val="nil"/>
              <w:bottom w:val="nil"/>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Basilicata</w:t>
            </w:r>
          </w:p>
        </w:tc>
        <w:tc>
          <w:tcPr>
            <w:tcW w:w="2340" w:type="dxa"/>
            <w:tcBorders>
              <w:top w:val="nil"/>
              <w:left w:val="nil"/>
              <w:bottom w:val="nil"/>
              <w:right w:val="single" w:sz="4" w:space="0" w:color="auto"/>
            </w:tcBorders>
            <w:shd w:val="clear" w:color="auto" w:fill="FFFFFF" w:themeFill="background1"/>
            <w:noWrap/>
            <w:vAlign w:val="bottom"/>
            <w:hideMark/>
          </w:tcPr>
          <w:p w:rsidR="004B5739" w:rsidRPr="003D3270" w:rsidRDefault="004B5739" w:rsidP="00A12D83">
            <w:pPr>
              <w:jc w:val="center"/>
              <w:rPr>
                <w:rFonts w:asciiTheme="minorHAnsi" w:hAnsiTheme="minorHAnsi" w:cs="Arial"/>
                <w:sz w:val="18"/>
                <w:szCs w:val="18"/>
              </w:rPr>
            </w:pPr>
            <w:r w:rsidRPr="003D3270">
              <w:rPr>
                <w:rFonts w:asciiTheme="minorHAnsi" w:hAnsiTheme="minorHAnsi" w:cs="Arial"/>
                <w:sz w:val="18"/>
                <w:szCs w:val="18"/>
              </w:rPr>
              <w:t>Emilia Romagna</w:t>
            </w:r>
          </w:p>
        </w:tc>
        <w:tc>
          <w:tcPr>
            <w:tcW w:w="1605" w:type="dxa"/>
            <w:tcBorders>
              <w:top w:val="nil"/>
              <w:left w:val="nil"/>
              <w:bottom w:val="nil"/>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Liguria</w:t>
            </w:r>
          </w:p>
        </w:tc>
        <w:tc>
          <w:tcPr>
            <w:tcW w:w="1701" w:type="dxa"/>
            <w:tcBorders>
              <w:top w:val="nil"/>
              <w:left w:val="nil"/>
              <w:bottom w:val="nil"/>
              <w:right w:val="single" w:sz="4" w:space="0" w:color="auto"/>
            </w:tcBorders>
            <w:shd w:val="clear" w:color="auto" w:fill="auto"/>
            <w:noWrap/>
            <w:vAlign w:val="bottom"/>
            <w:hideMark/>
          </w:tcPr>
          <w:p w:rsidR="004B5739" w:rsidRPr="003D3270" w:rsidRDefault="004B5739" w:rsidP="00C52CB7">
            <w:pPr>
              <w:jc w:val="center"/>
              <w:rPr>
                <w:rFonts w:asciiTheme="minorHAnsi" w:hAnsiTheme="minorHAnsi" w:cs="Arial"/>
                <w:sz w:val="18"/>
                <w:szCs w:val="18"/>
              </w:rPr>
            </w:pPr>
            <w:r w:rsidRPr="003D3270">
              <w:rPr>
                <w:rFonts w:asciiTheme="minorHAnsi" w:hAnsiTheme="minorHAnsi" w:cs="Arial"/>
                <w:sz w:val="18"/>
                <w:szCs w:val="18"/>
              </w:rPr>
              <w:t xml:space="preserve">Friuli Venezia </w:t>
            </w:r>
            <w:r>
              <w:rPr>
                <w:rFonts w:asciiTheme="minorHAnsi" w:hAnsiTheme="minorHAnsi" w:cs="Arial"/>
                <w:sz w:val="18"/>
                <w:szCs w:val="18"/>
              </w:rPr>
              <w:t>Giulia</w:t>
            </w:r>
          </w:p>
        </w:tc>
        <w:tc>
          <w:tcPr>
            <w:tcW w:w="700" w:type="dxa"/>
            <w:tcBorders>
              <w:top w:val="nil"/>
              <w:left w:val="nil"/>
              <w:bottom w:val="nil"/>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Umbria</w:t>
            </w:r>
          </w:p>
        </w:tc>
      </w:tr>
      <w:tr w:rsidR="004B5739" w:rsidRPr="003D3270" w:rsidTr="004B5739">
        <w:trPr>
          <w:trHeight w:val="283"/>
        </w:trPr>
        <w:tc>
          <w:tcPr>
            <w:tcW w:w="734" w:type="dxa"/>
            <w:tcBorders>
              <w:top w:val="nil"/>
              <w:left w:val="single" w:sz="4" w:space="0" w:color="auto"/>
              <w:bottom w:val="nil"/>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735" w:type="dxa"/>
            <w:tcBorders>
              <w:top w:val="nil"/>
              <w:left w:val="nil"/>
              <w:bottom w:val="nil"/>
              <w:right w:val="single" w:sz="4" w:space="0" w:color="auto"/>
            </w:tcBorders>
            <w:shd w:val="clear" w:color="auto" w:fill="auto"/>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828" w:type="dxa"/>
            <w:tcBorders>
              <w:top w:val="nil"/>
              <w:left w:val="nil"/>
              <w:bottom w:val="nil"/>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Marche</w:t>
            </w:r>
          </w:p>
        </w:tc>
        <w:tc>
          <w:tcPr>
            <w:tcW w:w="2340" w:type="dxa"/>
            <w:tcBorders>
              <w:top w:val="nil"/>
              <w:left w:val="nil"/>
              <w:bottom w:val="nil"/>
              <w:right w:val="single" w:sz="4" w:space="0" w:color="auto"/>
            </w:tcBorders>
            <w:shd w:val="clear" w:color="auto" w:fill="FFFFFF" w:themeFill="background1"/>
            <w:noWrap/>
            <w:vAlign w:val="bottom"/>
          </w:tcPr>
          <w:p w:rsidR="004B5739" w:rsidRPr="003D3270" w:rsidRDefault="004B5739" w:rsidP="00A12D83">
            <w:pPr>
              <w:jc w:val="center"/>
              <w:rPr>
                <w:rFonts w:asciiTheme="minorHAnsi" w:hAnsiTheme="minorHAnsi" w:cs="Arial"/>
                <w:sz w:val="18"/>
                <w:szCs w:val="18"/>
              </w:rPr>
            </w:pPr>
            <w:r w:rsidRPr="003D3270">
              <w:rPr>
                <w:rFonts w:asciiTheme="minorHAnsi" w:hAnsiTheme="minorHAnsi" w:cs="Arial"/>
                <w:sz w:val="18"/>
                <w:szCs w:val="18"/>
              </w:rPr>
              <w:t>Lombardia</w:t>
            </w:r>
            <w:r>
              <w:rPr>
                <w:rFonts w:asciiTheme="minorHAnsi" w:hAnsiTheme="minorHAnsi" w:cs="Arial"/>
                <w:sz w:val="18"/>
                <w:szCs w:val="18"/>
              </w:rPr>
              <w:t xml:space="preserve"> - </w:t>
            </w:r>
            <w:r w:rsidRPr="003D3270">
              <w:rPr>
                <w:rFonts w:asciiTheme="minorHAnsi" w:hAnsiTheme="minorHAnsi" w:cs="Arial"/>
                <w:sz w:val="18"/>
                <w:szCs w:val="18"/>
              </w:rPr>
              <w:t>Toscana</w:t>
            </w:r>
          </w:p>
        </w:tc>
        <w:tc>
          <w:tcPr>
            <w:tcW w:w="1605" w:type="dxa"/>
            <w:tcBorders>
              <w:top w:val="nil"/>
              <w:left w:val="nil"/>
              <w:bottom w:val="nil"/>
              <w:right w:val="nil"/>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Piemonte</w:t>
            </w:r>
          </w:p>
        </w:tc>
        <w:tc>
          <w:tcPr>
            <w:tcW w:w="1701" w:type="dxa"/>
            <w:tcBorders>
              <w:top w:val="nil"/>
              <w:left w:val="single" w:sz="4" w:space="0" w:color="auto"/>
              <w:bottom w:val="nil"/>
              <w:right w:val="single" w:sz="4" w:space="0" w:color="auto"/>
            </w:tcBorders>
            <w:shd w:val="clear" w:color="auto" w:fill="auto"/>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700" w:type="dxa"/>
            <w:tcBorders>
              <w:top w:val="nil"/>
              <w:left w:val="nil"/>
              <w:bottom w:val="nil"/>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r>
      <w:tr w:rsidR="004B5739" w:rsidRPr="003D3270" w:rsidTr="004B5739">
        <w:trPr>
          <w:trHeight w:val="283"/>
        </w:trPr>
        <w:tc>
          <w:tcPr>
            <w:tcW w:w="734" w:type="dxa"/>
            <w:tcBorders>
              <w:top w:val="nil"/>
              <w:left w:val="single" w:sz="4" w:space="0" w:color="auto"/>
              <w:bottom w:val="nil"/>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735" w:type="dxa"/>
            <w:tcBorders>
              <w:top w:val="nil"/>
              <w:left w:val="nil"/>
              <w:bottom w:val="nil"/>
              <w:right w:val="single" w:sz="4" w:space="0" w:color="auto"/>
            </w:tcBorders>
            <w:shd w:val="clear" w:color="auto" w:fill="auto"/>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828" w:type="dxa"/>
            <w:tcBorders>
              <w:top w:val="nil"/>
              <w:left w:val="nil"/>
              <w:bottom w:val="nil"/>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Molise</w:t>
            </w:r>
          </w:p>
        </w:tc>
        <w:tc>
          <w:tcPr>
            <w:tcW w:w="2340" w:type="dxa"/>
            <w:tcBorders>
              <w:top w:val="nil"/>
              <w:left w:val="nil"/>
              <w:bottom w:val="nil"/>
              <w:right w:val="single" w:sz="4" w:space="0" w:color="auto"/>
            </w:tcBorders>
            <w:shd w:val="clear" w:color="auto" w:fill="FFFFFF" w:themeFill="background1"/>
            <w:noWrap/>
            <w:vAlign w:val="bottom"/>
          </w:tcPr>
          <w:p w:rsidR="004B5739" w:rsidRPr="003D3270" w:rsidRDefault="004B5739" w:rsidP="00A12D83">
            <w:pPr>
              <w:jc w:val="center"/>
              <w:rPr>
                <w:rFonts w:asciiTheme="minorHAnsi" w:hAnsiTheme="minorHAnsi" w:cs="Arial"/>
                <w:sz w:val="18"/>
                <w:szCs w:val="18"/>
              </w:rPr>
            </w:pPr>
            <w:r w:rsidRPr="003D3270">
              <w:rPr>
                <w:rFonts w:asciiTheme="minorHAnsi" w:hAnsiTheme="minorHAnsi" w:cs="Arial"/>
                <w:sz w:val="18"/>
                <w:szCs w:val="18"/>
              </w:rPr>
              <w:t>Valle d'Aosta</w:t>
            </w:r>
            <w:r>
              <w:rPr>
                <w:rFonts w:asciiTheme="minorHAnsi" w:hAnsiTheme="minorHAnsi" w:cs="Arial"/>
                <w:sz w:val="18"/>
                <w:szCs w:val="18"/>
              </w:rPr>
              <w:t xml:space="preserve"> - Veneto</w:t>
            </w:r>
          </w:p>
        </w:tc>
        <w:tc>
          <w:tcPr>
            <w:tcW w:w="1605" w:type="dxa"/>
            <w:tcBorders>
              <w:top w:val="nil"/>
              <w:left w:val="nil"/>
              <w:bottom w:val="nil"/>
              <w:right w:val="nil"/>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Puglia</w:t>
            </w:r>
          </w:p>
        </w:tc>
        <w:tc>
          <w:tcPr>
            <w:tcW w:w="1701" w:type="dxa"/>
            <w:tcBorders>
              <w:top w:val="nil"/>
              <w:left w:val="single" w:sz="4" w:space="0" w:color="auto"/>
              <w:bottom w:val="nil"/>
              <w:right w:val="single" w:sz="4" w:space="0" w:color="auto"/>
            </w:tcBorders>
            <w:shd w:val="clear" w:color="auto" w:fill="auto"/>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700" w:type="dxa"/>
            <w:tcBorders>
              <w:top w:val="nil"/>
              <w:left w:val="nil"/>
              <w:bottom w:val="nil"/>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r>
      <w:tr w:rsidR="004B5739" w:rsidRPr="003D3270" w:rsidTr="004B5739">
        <w:trPr>
          <w:trHeight w:val="283"/>
        </w:trPr>
        <w:tc>
          <w:tcPr>
            <w:tcW w:w="734" w:type="dxa"/>
            <w:tcBorders>
              <w:top w:val="nil"/>
              <w:left w:val="single" w:sz="4" w:space="0" w:color="auto"/>
              <w:bottom w:val="nil"/>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735" w:type="dxa"/>
            <w:tcBorders>
              <w:top w:val="nil"/>
              <w:left w:val="nil"/>
              <w:bottom w:val="nil"/>
              <w:right w:val="single" w:sz="4" w:space="0" w:color="auto"/>
            </w:tcBorders>
            <w:shd w:val="clear" w:color="auto" w:fill="auto"/>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828" w:type="dxa"/>
            <w:tcBorders>
              <w:top w:val="nil"/>
              <w:left w:val="nil"/>
              <w:bottom w:val="nil"/>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2340" w:type="dxa"/>
            <w:tcBorders>
              <w:top w:val="nil"/>
              <w:left w:val="nil"/>
              <w:bottom w:val="nil"/>
              <w:right w:val="single" w:sz="4" w:space="0" w:color="auto"/>
            </w:tcBorders>
            <w:shd w:val="clear" w:color="auto" w:fill="FFFFFF" w:themeFill="background1"/>
            <w:noWrap/>
            <w:vAlign w:val="bottom"/>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Campania</w:t>
            </w:r>
            <w:r>
              <w:rPr>
                <w:rFonts w:asciiTheme="minorHAnsi" w:hAnsiTheme="minorHAnsi" w:cs="Arial"/>
                <w:sz w:val="18"/>
                <w:szCs w:val="18"/>
              </w:rPr>
              <w:t xml:space="preserve"> - </w:t>
            </w:r>
            <w:r w:rsidRPr="003D3270">
              <w:rPr>
                <w:rFonts w:asciiTheme="minorHAnsi" w:hAnsiTheme="minorHAnsi" w:cs="Arial"/>
                <w:sz w:val="18"/>
                <w:szCs w:val="18"/>
              </w:rPr>
              <w:t>Lazio</w:t>
            </w:r>
          </w:p>
        </w:tc>
        <w:tc>
          <w:tcPr>
            <w:tcW w:w="1605" w:type="dxa"/>
            <w:tcBorders>
              <w:top w:val="nil"/>
              <w:left w:val="nil"/>
              <w:bottom w:val="nil"/>
              <w:right w:val="nil"/>
            </w:tcBorders>
            <w:shd w:val="clear" w:color="000000" w:fill="EEECE1"/>
            <w:noWrap/>
            <w:vAlign w:val="bottom"/>
            <w:hideMark/>
          </w:tcPr>
          <w:p w:rsidR="004B5739" w:rsidRPr="003D3270" w:rsidRDefault="004B5739" w:rsidP="00C52CB7">
            <w:pPr>
              <w:jc w:val="center"/>
              <w:rPr>
                <w:rFonts w:asciiTheme="minorHAnsi" w:hAnsiTheme="minorHAnsi" w:cs="Arial"/>
                <w:sz w:val="18"/>
                <w:szCs w:val="18"/>
              </w:rPr>
            </w:pPr>
            <w:r w:rsidRPr="003D3270">
              <w:rPr>
                <w:rFonts w:asciiTheme="minorHAnsi" w:hAnsiTheme="minorHAnsi" w:cs="Arial"/>
                <w:sz w:val="18"/>
                <w:szCs w:val="18"/>
              </w:rPr>
              <w:t>Trentino Alto Adige</w:t>
            </w:r>
          </w:p>
        </w:tc>
        <w:tc>
          <w:tcPr>
            <w:tcW w:w="1701" w:type="dxa"/>
            <w:tcBorders>
              <w:top w:val="nil"/>
              <w:left w:val="single" w:sz="4" w:space="0" w:color="auto"/>
              <w:bottom w:val="nil"/>
              <w:right w:val="single" w:sz="4" w:space="0" w:color="auto"/>
            </w:tcBorders>
            <w:shd w:val="clear" w:color="auto" w:fill="auto"/>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700" w:type="dxa"/>
            <w:tcBorders>
              <w:top w:val="nil"/>
              <w:left w:val="nil"/>
              <w:bottom w:val="nil"/>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r>
      <w:tr w:rsidR="004B5739" w:rsidRPr="003D3270" w:rsidTr="004B5739">
        <w:trPr>
          <w:trHeight w:val="283"/>
        </w:trPr>
        <w:tc>
          <w:tcPr>
            <w:tcW w:w="734" w:type="dxa"/>
            <w:tcBorders>
              <w:top w:val="nil"/>
              <w:left w:val="single" w:sz="4" w:space="0" w:color="auto"/>
              <w:bottom w:val="single" w:sz="4" w:space="0" w:color="auto"/>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735" w:type="dxa"/>
            <w:tcBorders>
              <w:top w:val="nil"/>
              <w:left w:val="nil"/>
              <w:bottom w:val="single" w:sz="4" w:space="0" w:color="auto"/>
              <w:right w:val="single" w:sz="4" w:space="0" w:color="auto"/>
            </w:tcBorders>
            <w:shd w:val="clear" w:color="auto" w:fill="auto"/>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828" w:type="dxa"/>
            <w:tcBorders>
              <w:top w:val="nil"/>
              <w:left w:val="nil"/>
              <w:bottom w:val="single" w:sz="4" w:space="0" w:color="auto"/>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2340" w:type="dxa"/>
            <w:tcBorders>
              <w:top w:val="nil"/>
              <w:left w:val="nil"/>
              <w:bottom w:val="single" w:sz="4" w:space="0" w:color="auto"/>
              <w:right w:val="single" w:sz="4" w:space="0" w:color="auto"/>
            </w:tcBorders>
            <w:shd w:val="clear" w:color="auto" w:fill="FFFFFF" w:themeFill="background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Sardegna</w:t>
            </w:r>
            <w:r>
              <w:rPr>
                <w:rFonts w:asciiTheme="minorHAnsi" w:hAnsiTheme="minorHAnsi" w:cs="Arial"/>
                <w:sz w:val="18"/>
                <w:szCs w:val="18"/>
              </w:rPr>
              <w:t xml:space="preserve"> - </w:t>
            </w:r>
            <w:r w:rsidRPr="003D3270">
              <w:rPr>
                <w:rFonts w:asciiTheme="minorHAnsi" w:hAnsiTheme="minorHAnsi" w:cs="Arial"/>
                <w:sz w:val="18"/>
                <w:szCs w:val="18"/>
              </w:rPr>
              <w:t>Sicilia</w:t>
            </w:r>
          </w:p>
        </w:tc>
        <w:tc>
          <w:tcPr>
            <w:tcW w:w="1605" w:type="dxa"/>
            <w:tcBorders>
              <w:top w:val="nil"/>
              <w:left w:val="nil"/>
              <w:bottom w:val="single" w:sz="4" w:space="0" w:color="auto"/>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c>
          <w:tcPr>
            <w:tcW w:w="700" w:type="dxa"/>
            <w:tcBorders>
              <w:top w:val="nil"/>
              <w:left w:val="nil"/>
              <w:bottom w:val="single" w:sz="4" w:space="0" w:color="auto"/>
              <w:right w:val="single" w:sz="4" w:space="0" w:color="auto"/>
            </w:tcBorders>
            <w:shd w:val="clear" w:color="000000" w:fill="EEECE1"/>
            <w:noWrap/>
            <w:vAlign w:val="bottom"/>
            <w:hideMark/>
          </w:tcPr>
          <w:p w:rsidR="004B5739" w:rsidRPr="003D3270" w:rsidRDefault="004B5739" w:rsidP="007D32E8">
            <w:pPr>
              <w:jc w:val="center"/>
              <w:rPr>
                <w:rFonts w:asciiTheme="minorHAnsi" w:hAnsiTheme="minorHAnsi" w:cs="Arial"/>
                <w:sz w:val="18"/>
                <w:szCs w:val="18"/>
              </w:rPr>
            </w:pPr>
            <w:r w:rsidRPr="003D3270">
              <w:rPr>
                <w:rFonts w:asciiTheme="minorHAnsi" w:hAnsiTheme="minorHAnsi" w:cs="Arial"/>
                <w:sz w:val="18"/>
                <w:szCs w:val="18"/>
              </w:rPr>
              <w:t> </w:t>
            </w:r>
          </w:p>
        </w:tc>
      </w:tr>
    </w:tbl>
    <w:p w:rsidR="003678A4" w:rsidRPr="003D3270" w:rsidRDefault="00CB214E" w:rsidP="008D7331">
      <w:pPr>
        <w:spacing w:before="60"/>
        <w:rPr>
          <w:rFonts w:asciiTheme="minorHAnsi" w:eastAsia="Calibri" w:hAnsiTheme="minorHAnsi" w:cstheme="minorHAnsi"/>
          <w:sz w:val="18"/>
        </w:rPr>
      </w:pPr>
      <w:r w:rsidRPr="003D3270">
        <w:rPr>
          <w:rFonts w:asciiTheme="minorHAnsi" w:eastAsia="Calibri" w:hAnsiTheme="minorHAnsi" w:cstheme="minorHAnsi"/>
          <w:sz w:val="18"/>
        </w:rPr>
        <w:t>Fonte:</w:t>
      </w:r>
      <w:r w:rsidR="005025ED" w:rsidRPr="003D3270">
        <w:rPr>
          <w:rFonts w:asciiTheme="minorHAnsi" w:eastAsia="Calibri" w:hAnsiTheme="minorHAnsi" w:cstheme="minorHAnsi"/>
          <w:sz w:val="18"/>
        </w:rPr>
        <w:t xml:space="preserve"> </w:t>
      </w:r>
      <w:r w:rsidRPr="003D3270">
        <w:rPr>
          <w:rFonts w:asciiTheme="minorHAnsi" w:eastAsia="Calibri" w:hAnsiTheme="minorHAnsi" w:cstheme="minorHAnsi"/>
          <w:sz w:val="18"/>
        </w:rPr>
        <w:t xml:space="preserve">Nomisma e </w:t>
      </w:r>
      <w:r w:rsidR="008D7331" w:rsidRPr="003D3270">
        <w:rPr>
          <w:rFonts w:asciiTheme="minorHAnsi" w:eastAsia="Calibri" w:hAnsiTheme="minorHAnsi" w:cstheme="minorHAnsi"/>
          <w:sz w:val="18"/>
        </w:rPr>
        <w:t>Fimaa</w:t>
      </w:r>
      <w:r w:rsidR="00AC5889" w:rsidRPr="003D3270">
        <w:rPr>
          <w:rFonts w:asciiTheme="minorHAnsi" w:eastAsia="Calibri" w:hAnsiTheme="minorHAnsi" w:cstheme="minorHAnsi"/>
          <w:sz w:val="18"/>
        </w:rPr>
        <w:t>-Confcommercio</w:t>
      </w:r>
    </w:p>
    <w:p w:rsidR="00CB214E" w:rsidRPr="003D3270" w:rsidRDefault="00CB214E" w:rsidP="00364602">
      <w:pPr>
        <w:rPr>
          <w:rFonts w:asciiTheme="minorHAnsi" w:eastAsia="Calibri" w:hAnsiTheme="minorHAnsi" w:cstheme="minorHAnsi"/>
          <w:szCs w:val="24"/>
        </w:rPr>
      </w:pPr>
    </w:p>
    <w:p w:rsidR="00FC569A" w:rsidRPr="003D3270" w:rsidRDefault="0009207A" w:rsidP="00364602">
      <w:pPr>
        <w:rPr>
          <w:rFonts w:asciiTheme="minorHAnsi" w:eastAsia="Calibri" w:hAnsiTheme="minorHAnsi" w:cstheme="minorHAnsi"/>
          <w:sz w:val="22"/>
          <w:szCs w:val="22"/>
        </w:rPr>
      </w:pPr>
      <w:r w:rsidRPr="003D3270">
        <w:rPr>
          <w:rFonts w:asciiTheme="minorHAnsi" w:eastAsia="Calibri" w:hAnsiTheme="minorHAnsi" w:cstheme="minorHAnsi"/>
          <w:sz w:val="22"/>
          <w:szCs w:val="22"/>
        </w:rPr>
        <w:t xml:space="preserve">Rispetto </w:t>
      </w:r>
      <w:r w:rsidR="00F63B06" w:rsidRPr="003D3270">
        <w:rPr>
          <w:rFonts w:asciiTheme="minorHAnsi" w:eastAsia="Calibri" w:hAnsiTheme="minorHAnsi" w:cstheme="minorHAnsi"/>
          <w:sz w:val="22"/>
          <w:szCs w:val="22"/>
        </w:rPr>
        <w:t>al</w:t>
      </w:r>
      <w:r w:rsidRPr="003D3270">
        <w:rPr>
          <w:rFonts w:asciiTheme="minorHAnsi" w:eastAsia="Calibri" w:hAnsiTheme="minorHAnsi" w:cstheme="minorHAnsi"/>
          <w:sz w:val="22"/>
          <w:szCs w:val="22"/>
        </w:rPr>
        <w:t xml:space="preserve"> dato medio per regione</w:t>
      </w:r>
      <w:r w:rsidR="00F63B06" w:rsidRPr="003D3270">
        <w:rPr>
          <w:rFonts w:asciiTheme="minorHAnsi" w:eastAsia="Calibri" w:hAnsiTheme="minorHAnsi" w:cstheme="minorHAnsi"/>
          <w:sz w:val="22"/>
          <w:szCs w:val="22"/>
        </w:rPr>
        <w:t>,</w:t>
      </w:r>
      <w:r w:rsidRPr="003D3270">
        <w:rPr>
          <w:rFonts w:asciiTheme="minorHAnsi" w:eastAsia="Calibri" w:hAnsiTheme="minorHAnsi" w:cstheme="minorHAnsi"/>
          <w:sz w:val="22"/>
          <w:szCs w:val="22"/>
        </w:rPr>
        <w:t xml:space="preserve"> vi sono </w:t>
      </w:r>
      <w:r w:rsidR="005A6382" w:rsidRPr="003D3270">
        <w:rPr>
          <w:rFonts w:asciiTheme="minorHAnsi" w:eastAsia="Calibri" w:hAnsiTheme="minorHAnsi" w:cstheme="minorHAnsi"/>
          <w:sz w:val="22"/>
          <w:szCs w:val="22"/>
        </w:rPr>
        <w:t>alcuni mercati dove la variazione intervenuta nei prezzi nasconde un’ampia variabilità, come le località turistiche del</w:t>
      </w:r>
      <w:r w:rsidR="00E13F8E" w:rsidRPr="003D3270">
        <w:rPr>
          <w:rFonts w:asciiTheme="minorHAnsi" w:eastAsia="Calibri" w:hAnsiTheme="minorHAnsi" w:cstheme="minorHAnsi"/>
          <w:sz w:val="22"/>
          <w:szCs w:val="22"/>
        </w:rPr>
        <w:t>l’Abruzzo,</w:t>
      </w:r>
      <w:r w:rsidR="005A6382" w:rsidRPr="003D3270">
        <w:rPr>
          <w:rFonts w:asciiTheme="minorHAnsi" w:eastAsia="Calibri" w:hAnsiTheme="minorHAnsi" w:cstheme="minorHAnsi"/>
          <w:sz w:val="22"/>
          <w:szCs w:val="22"/>
        </w:rPr>
        <w:t xml:space="preserve"> che segnano </w:t>
      </w:r>
      <w:r w:rsidR="00C50228" w:rsidRPr="003D3270">
        <w:rPr>
          <w:rFonts w:asciiTheme="minorHAnsi" w:eastAsia="Calibri" w:hAnsiTheme="minorHAnsi" w:cstheme="minorHAnsi"/>
          <w:sz w:val="22"/>
          <w:szCs w:val="22"/>
        </w:rPr>
        <w:t>flessioni</w:t>
      </w:r>
      <w:r w:rsidR="005A6382" w:rsidRPr="003D3270">
        <w:rPr>
          <w:rFonts w:asciiTheme="minorHAnsi" w:eastAsia="Calibri" w:hAnsiTheme="minorHAnsi" w:cstheme="minorHAnsi"/>
          <w:sz w:val="22"/>
          <w:szCs w:val="22"/>
        </w:rPr>
        <w:t xml:space="preserve"> minime </w:t>
      </w:r>
      <w:r w:rsidR="00E13F8E" w:rsidRPr="003D3270">
        <w:rPr>
          <w:rFonts w:asciiTheme="minorHAnsi" w:eastAsia="Calibri" w:hAnsiTheme="minorHAnsi" w:cstheme="minorHAnsi"/>
          <w:sz w:val="22"/>
          <w:szCs w:val="22"/>
        </w:rPr>
        <w:t xml:space="preserve">del 14,4% </w:t>
      </w:r>
      <w:r w:rsidR="005A6382" w:rsidRPr="003D3270">
        <w:rPr>
          <w:rFonts w:asciiTheme="minorHAnsi" w:eastAsia="Calibri" w:hAnsiTheme="minorHAnsi" w:cstheme="minorHAnsi"/>
          <w:sz w:val="22"/>
          <w:szCs w:val="22"/>
        </w:rPr>
        <w:t xml:space="preserve">e massime </w:t>
      </w:r>
      <w:r w:rsidR="00E13F8E" w:rsidRPr="003D3270">
        <w:rPr>
          <w:rFonts w:asciiTheme="minorHAnsi" w:eastAsia="Calibri" w:hAnsiTheme="minorHAnsi" w:cstheme="minorHAnsi"/>
          <w:sz w:val="22"/>
          <w:szCs w:val="22"/>
        </w:rPr>
        <w:t xml:space="preserve">attorno alla stabilità, </w:t>
      </w:r>
      <w:r w:rsidR="005A6382" w:rsidRPr="003D3270">
        <w:rPr>
          <w:rFonts w:asciiTheme="minorHAnsi" w:eastAsia="Calibri" w:hAnsiTheme="minorHAnsi" w:cstheme="minorHAnsi"/>
          <w:sz w:val="22"/>
          <w:szCs w:val="22"/>
        </w:rPr>
        <w:t>rispetto ad un dato medio regionale del -</w:t>
      </w:r>
      <w:r w:rsidR="00E13F8E" w:rsidRPr="003D3270">
        <w:rPr>
          <w:rFonts w:asciiTheme="minorHAnsi" w:eastAsia="Calibri" w:hAnsiTheme="minorHAnsi" w:cstheme="minorHAnsi"/>
          <w:sz w:val="22"/>
          <w:szCs w:val="22"/>
        </w:rPr>
        <w:t>9</w:t>
      </w:r>
      <w:r w:rsidR="005A6382" w:rsidRPr="003D3270">
        <w:rPr>
          <w:rFonts w:asciiTheme="minorHAnsi" w:eastAsia="Calibri" w:hAnsiTheme="minorHAnsi" w:cstheme="minorHAnsi"/>
          <w:sz w:val="22"/>
          <w:szCs w:val="22"/>
        </w:rPr>
        <w:t xml:space="preserve">%. </w:t>
      </w:r>
      <w:r w:rsidR="00176583" w:rsidRPr="003D3270">
        <w:rPr>
          <w:rFonts w:asciiTheme="minorHAnsi" w:eastAsia="Calibri" w:hAnsiTheme="minorHAnsi" w:cstheme="minorHAnsi"/>
          <w:sz w:val="22"/>
          <w:szCs w:val="22"/>
        </w:rPr>
        <w:t>Discorso analogo per</w:t>
      </w:r>
      <w:r w:rsidR="005A6382" w:rsidRPr="003D3270">
        <w:rPr>
          <w:rFonts w:asciiTheme="minorHAnsi" w:eastAsia="Calibri" w:hAnsiTheme="minorHAnsi" w:cstheme="minorHAnsi"/>
          <w:sz w:val="22"/>
          <w:szCs w:val="22"/>
        </w:rPr>
        <w:t xml:space="preserve"> </w:t>
      </w:r>
      <w:r w:rsidR="00E13F8E" w:rsidRPr="003D3270">
        <w:rPr>
          <w:rFonts w:asciiTheme="minorHAnsi" w:eastAsia="Calibri" w:hAnsiTheme="minorHAnsi" w:cstheme="minorHAnsi"/>
          <w:sz w:val="22"/>
          <w:szCs w:val="22"/>
        </w:rPr>
        <w:t>Sicilia, Toscana e Sardegna</w:t>
      </w:r>
      <w:r w:rsidR="005A6382" w:rsidRPr="003D3270">
        <w:rPr>
          <w:rFonts w:asciiTheme="minorHAnsi" w:eastAsia="Calibri" w:hAnsiTheme="minorHAnsi" w:cstheme="minorHAnsi"/>
          <w:sz w:val="22"/>
          <w:szCs w:val="22"/>
        </w:rPr>
        <w:t xml:space="preserve"> contraddistinte</w:t>
      </w:r>
      <w:r w:rsidR="00176583" w:rsidRPr="003D3270">
        <w:rPr>
          <w:rFonts w:asciiTheme="minorHAnsi" w:eastAsia="Calibri" w:hAnsiTheme="minorHAnsi" w:cstheme="minorHAnsi"/>
          <w:sz w:val="22"/>
          <w:szCs w:val="22"/>
        </w:rPr>
        <w:t>,</w:t>
      </w:r>
      <w:r w:rsidR="005A6382" w:rsidRPr="003D3270">
        <w:rPr>
          <w:rFonts w:asciiTheme="minorHAnsi" w:eastAsia="Calibri" w:hAnsiTheme="minorHAnsi" w:cstheme="minorHAnsi"/>
          <w:sz w:val="22"/>
          <w:szCs w:val="22"/>
        </w:rPr>
        <w:t xml:space="preserve"> </w:t>
      </w:r>
      <w:r w:rsidR="00176583" w:rsidRPr="003D3270">
        <w:rPr>
          <w:rFonts w:asciiTheme="minorHAnsi" w:eastAsia="Calibri" w:hAnsiTheme="minorHAnsi" w:cstheme="minorHAnsi"/>
          <w:sz w:val="22"/>
          <w:szCs w:val="22"/>
        </w:rPr>
        <w:t xml:space="preserve">rispettivamente, </w:t>
      </w:r>
      <w:r w:rsidR="005A6382" w:rsidRPr="003D3270">
        <w:rPr>
          <w:rFonts w:asciiTheme="minorHAnsi" w:eastAsia="Calibri" w:hAnsiTheme="minorHAnsi" w:cstheme="minorHAnsi"/>
          <w:sz w:val="22"/>
          <w:szCs w:val="22"/>
        </w:rPr>
        <w:t>da un range del -1</w:t>
      </w:r>
      <w:r w:rsidR="00E13F8E" w:rsidRPr="003D3270">
        <w:rPr>
          <w:rFonts w:asciiTheme="minorHAnsi" w:eastAsia="Calibri" w:hAnsiTheme="minorHAnsi" w:cstheme="minorHAnsi"/>
          <w:sz w:val="22"/>
          <w:szCs w:val="22"/>
        </w:rPr>
        <w:t>1</w:t>
      </w:r>
      <w:r w:rsidR="005A6382" w:rsidRPr="003D3270">
        <w:rPr>
          <w:rFonts w:asciiTheme="minorHAnsi" w:eastAsia="Calibri" w:hAnsiTheme="minorHAnsi" w:cstheme="minorHAnsi"/>
          <w:sz w:val="22"/>
          <w:szCs w:val="22"/>
        </w:rPr>
        <w:t>%/</w:t>
      </w:r>
      <w:r w:rsidR="00E13F8E" w:rsidRPr="003D3270">
        <w:rPr>
          <w:rFonts w:asciiTheme="minorHAnsi" w:eastAsia="Calibri" w:hAnsiTheme="minorHAnsi" w:cstheme="minorHAnsi"/>
          <w:sz w:val="22"/>
          <w:szCs w:val="22"/>
        </w:rPr>
        <w:t>0</w:t>
      </w:r>
      <w:r w:rsidR="005A6382" w:rsidRPr="003D3270">
        <w:rPr>
          <w:rFonts w:asciiTheme="minorHAnsi" w:eastAsia="Calibri" w:hAnsiTheme="minorHAnsi" w:cstheme="minorHAnsi"/>
          <w:sz w:val="22"/>
          <w:szCs w:val="22"/>
        </w:rPr>
        <w:t xml:space="preserve">% e </w:t>
      </w:r>
      <w:r w:rsidR="00741D79" w:rsidRPr="003D3270">
        <w:rPr>
          <w:rFonts w:asciiTheme="minorHAnsi" w:eastAsia="Calibri" w:hAnsiTheme="minorHAnsi" w:cstheme="minorHAnsi"/>
          <w:sz w:val="22"/>
          <w:szCs w:val="22"/>
        </w:rPr>
        <w:t xml:space="preserve">del </w:t>
      </w:r>
      <w:r w:rsidR="005A6382" w:rsidRPr="003D3270">
        <w:rPr>
          <w:rFonts w:asciiTheme="minorHAnsi" w:eastAsia="Calibri" w:hAnsiTheme="minorHAnsi" w:cstheme="minorHAnsi"/>
          <w:sz w:val="22"/>
          <w:szCs w:val="22"/>
        </w:rPr>
        <w:t>-1</w:t>
      </w:r>
      <w:r w:rsidR="00E13F8E" w:rsidRPr="003D3270">
        <w:rPr>
          <w:rFonts w:asciiTheme="minorHAnsi" w:eastAsia="Calibri" w:hAnsiTheme="minorHAnsi" w:cstheme="minorHAnsi"/>
          <w:sz w:val="22"/>
          <w:szCs w:val="22"/>
        </w:rPr>
        <w:t>0</w:t>
      </w:r>
      <w:r w:rsidR="005A6382" w:rsidRPr="00E029FB">
        <w:rPr>
          <w:rFonts w:asciiTheme="minorHAnsi" w:eastAsia="Calibri" w:hAnsiTheme="minorHAnsi" w:cstheme="minorHAnsi"/>
          <w:sz w:val="22"/>
          <w:szCs w:val="22"/>
        </w:rPr>
        <w:t>%/</w:t>
      </w:r>
      <w:r w:rsidR="00E13F8E" w:rsidRPr="00E029FB">
        <w:rPr>
          <w:rFonts w:asciiTheme="minorHAnsi" w:eastAsia="Calibri" w:hAnsiTheme="minorHAnsi" w:cstheme="minorHAnsi"/>
          <w:sz w:val="22"/>
          <w:szCs w:val="22"/>
        </w:rPr>
        <w:t>-2</w:t>
      </w:r>
      <w:r w:rsidR="000D7640" w:rsidRPr="00E029FB">
        <w:rPr>
          <w:rFonts w:asciiTheme="minorHAnsi" w:eastAsia="Calibri" w:hAnsiTheme="minorHAnsi" w:cstheme="minorHAnsi"/>
          <w:sz w:val="22"/>
          <w:szCs w:val="22"/>
        </w:rPr>
        <w:t>%</w:t>
      </w:r>
      <w:r w:rsidRPr="00E029FB">
        <w:rPr>
          <w:rFonts w:asciiTheme="minorHAnsi" w:eastAsia="Calibri" w:hAnsiTheme="minorHAnsi" w:cstheme="minorHAnsi"/>
          <w:sz w:val="22"/>
          <w:szCs w:val="22"/>
        </w:rPr>
        <w:t>.</w:t>
      </w:r>
    </w:p>
    <w:p w:rsidR="0009207A" w:rsidRPr="006344E1" w:rsidRDefault="00F0365C" w:rsidP="00364602">
      <w:pPr>
        <w:rPr>
          <w:rFonts w:asciiTheme="minorHAnsi" w:eastAsia="Calibri" w:hAnsiTheme="minorHAnsi" w:cstheme="minorHAnsi"/>
          <w:spacing w:val="-2"/>
          <w:sz w:val="22"/>
          <w:szCs w:val="22"/>
        </w:rPr>
      </w:pPr>
      <w:r w:rsidRPr="006344E1">
        <w:rPr>
          <w:rFonts w:asciiTheme="minorHAnsi" w:eastAsia="Calibri" w:hAnsiTheme="minorHAnsi" w:cstheme="minorHAnsi"/>
          <w:spacing w:val="-2"/>
          <w:sz w:val="22"/>
          <w:szCs w:val="22"/>
        </w:rPr>
        <w:t xml:space="preserve">Da sottolineare che, a parte una ventina di località con valori </w:t>
      </w:r>
      <w:r w:rsidR="00F5371D" w:rsidRPr="006344E1">
        <w:rPr>
          <w:rFonts w:asciiTheme="minorHAnsi" w:eastAsia="Calibri" w:hAnsiTheme="minorHAnsi" w:cstheme="minorHAnsi"/>
          <w:spacing w:val="-2"/>
          <w:sz w:val="22"/>
          <w:szCs w:val="22"/>
        </w:rPr>
        <w:t xml:space="preserve">pressoché </w:t>
      </w:r>
      <w:r w:rsidRPr="006344E1">
        <w:rPr>
          <w:rFonts w:asciiTheme="minorHAnsi" w:eastAsia="Calibri" w:hAnsiTheme="minorHAnsi" w:cstheme="minorHAnsi"/>
          <w:spacing w:val="-2"/>
          <w:sz w:val="22"/>
          <w:szCs w:val="22"/>
        </w:rPr>
        <w:t xml:space="preserve">invariati rispetto al 2014, tutte le altre </w:t>
      </w:r>
      <w:r w:rsidR="00FC569A" w:rsidRPr="006344E1">
        <w:rPr>
          <w:rFonts w:asciiTheme="minorHAnsi" w:eastAsia="Calibri" w:hAnsiTheme="minorHAnsi" w:cstheme="minorHAnsi"/>
          <w:spacing w:val="-2"/>
          <w:sz w:val="22"/>
          <w:szCs w:val="22"/>
        </w:rPr>
        <w:t xml:space="preserve">localizzazioni monitorate </w:t>
      </w:r>
      <w:r w:rsidRPr="006344E1">
        <w:rPr>
          <w:rFonts w:asciiTheme="minorHAnsi" w:eastAsia="Calibri" w:hAnsiTheme="minorHAnsi" w:cstheme="minorHAnsi"/>
          <w:spacing w:val="-2"/>
          <w:sz w:val="22"/>
          <w:szCs w:val="22"/>
        </w:rPr>
        <w:t xml:space="preserve">hanno registrato una diminuzione dei </w:t>
      </w:r>
      <w:r w:rsidR="00741D79" w:rsidRPr="006344E1">
        <w:rPr>
          <w:rFonts w:asciiTheme="minorHAnsi" w:eastAsia="Calibri" w:hAnsiTheme="minorHAnsi" w:cstheme="minorHAnsi"/>
          <w:spacing w:val="-2"/>
          <w:sz w:val="22"/>
          <w:szCs w:val="22"/>
        </w:rPr>
        <w:t xml:space="preserve">prezzi </w:t>
      </w:r>
      <w:r w:rsidR="002C1729" w:rsidRPr="006344E1">
        <w:rPr>
          <w:rFonts w:asciiTheme="minorHAnsi" w:eastAsia="Calibri" w:hAnsiTheme="minorHAnsi" w:cstheme="minorHAnsi"/>
          <w:spacing w:val="-2"/>
          <w:sz w:val="22"/>
          <w:szCs w:val="22"/>
        </w:rPr>
        <w:t xml:space="preserve">medi </w:t>
      </w:r>
      <w:r w:rsidR="00741D79" w:rsidRPr="006344E1">
        <w:rPr>
          <w:rFonts w:asciiTheme="minorHAnsi" w:eastAsia="Calibri" w:hAnsiTheme="minorHAnsi" w:cstheme="minorHAnsi"/>
          <w:spacing w:val="-2"/>
          <w:sz w:val="22"/>
          <w:szCs w:val="22"/>
        </w:rPr>
        <w:t>compresa</w:t>
      </w:r>
      <w:r w:rsidR="00FC569A" w:rsidRPr="006344E1">
        <w:rPr>
          <w:rFonts w:asciiTheme="minorHAnsi" w:eastAsia="Calibri" w:hAnsiTheme="minorHAnsi" w:cstheme="minorHAnsi"/>
          <w:spacing w:val="-2"/>
          <w:sz w:val="22"/>
          <w:szCs w:val="22"/>
        </w:rPr>
        <w:t xml:space="preserve"> </w:t>
      </w:r>
      <w:r w:rsidR="00741D79" w:rsidRPr="006344E1">
        <w:rPr>
          <w:rFonts w:asciiTheme="minorHAnsi" w:eastAsia="Calibri" w:hAnsiTheme="minorHAnsi" w:cstheme="minorHAnsi"/>
          <w:spacing w:val="-2"/>
          <w:sz w:val="22"/>
          <w:szCs w:val="22"/>
        </w:rPr>
        <w:t xml:space="preserve">tra </w:t>
      </w:r>
      <w:r w:rsidR="00F5371D" w:rsidRPr="006344E1">
        <w:rPr>
          <w:rFonts w:asciiTheme="minorHAnsi" w:eastAsia="Calibri" w:hAnsiTheme="minorHAnsi" w:cstheme="minorHAnsi"/>
          <w:spacing w:val="-2"/>
          <w:sz w:val="22"/>
          <w:szCs w:val="22"/>
        </w:rPr>
        <w:t>-14,4%</w:t>
      </w:r>
      <w:r w:rsidR="00741D79" w:rsidRPr="006344E1">
        <w:rPr>
          <w:rFonts w:asciiTheme="minorHAnsi" w:eastAsia="Calibri" w:hAnsiTheme="minorHAnsi" w:cstheme="minorHAnsi"/>
          <w:spacing w:val="-2"/>
          <w:sz w:val="22"/>
          <w:szCs w:val="22"/>
        </w:rPr>
        <w:t xml:space="preserve"> e </w:t>
      </w:r>
      <w:r w:rsidR="00F5371D" w:rsidRPr="006344E1">
        <w:rPr>
          <w:rFonts w:asciiTheme="minorHAnsi" w:eastAsia="Calibri" w:hAnsiTheme="minorHAnsi" w:cstheme="minorHAnsi"/>
          <w:spacing w:val="-2"/>
          <w:sz w:val="22"/>
          <w:szCs w:val="22"/>
        </w:rPr>
        <w:t>-0,6%.</w:t>
      </w:r>
    </w:p>
    <w:p w:rsidR="0009207A" w:rsidRPr="003D3270" w:rsidRDefault="0009207A" w:rsidP="00364602">
      <w:pPr>
        <w:rPr>
          <w:rFonts w:asciiTheme="minorHAnsi" w:eastAsia="Calibri" w:hAnsiTheme="minorHAnsi" w:cstheme="minorHAnsi"/>
          <w:szCs w:val="24"/>
        </w:rPr>
      </w:pPr>
    </w:p>
    <w:p w:rsidR="00FC7BBB" w:rsidRPr="003D3270" w:rsidRDefault="000D69E5" w:rsidP="00C72373">
      <w:pPr>
        <w:spacing w:after="120"/>
        <w:rPr>
          <w:rFonts w:asciiTheme="minorHAnsi" w:eastAsia="Calibri" w:hAnsiTheme="minorHAnsi" w:cstheme="minorHAnsi"/>
          <w:sz w:val="22"/>
          <w:szCs w:val="22"/>
        </w:rPr>
      </w:pPr>
      <w:r w:rsidRPr="003D3270">
        <w:rPr>
          <w:rFonts w:asciiTheme="minorHAnsi" w:eastAsia="Calibri" w:hAnsiTheme="minorHAnsi" w:cstheme="minorHAnsi"/>
          <w:sz w:val="22"/>
          <w:szCs w:val="22"/>
        </w:rPr>
        <w:t xml:space="preserve">Il </w:t>
      </w:r>
      <w:r w:rsidRPr="003D3270">
        <w:rPr>
          <w:rFonts w:asciiTheme="minorHAnsi" w:eastAsia="Calibri" w:hAnsiTheme="minorHAnsi" w:cstheme="minorHAnsi"/>
          <w:b/>
          <w:sz w:val="22"/>
          <w:szCs w:val="22"/>
        </w:rPr>
        <w:t xml:space="preserve">prezzo medio di un’abitazione turistica in Italia è </w:t>
      </w:r>
      <w:r w:rsidRPr="000149FE">
        <w:rPr>
          <w:rFonts w:asciiTheme="minorHAnsi" w:eastAsia="Calibri" w:hAnsiTheme="minorHAnsi" w:cstheme="minorHAnsi"/>
          <w:b/>
          <w:sz w:val="22"/>
          <w:szCs w:val="22"/>
        </w:rPr>
        <w:t>di 2.</w:t>
      </w:r>
      <w:r w:rsidR="000149FE" w:rsidRPr="000149FE">
        <w:rPr>
          <w:rFonts w:asciiTheme="minorHAnsi" w:eastAsia="Calibri" w:hAnsiTheme="minorHAnsi" w:cstheme="minorHAnsi"/>
          <w:b/>
          <w:sz w:val="22"/>
          <w:szCs w:val="22"/>
        </w:rPr>
        <w:t>3</w:t>
      </w:r>
      <w:r w:rsidR="008A1AEB" w:rsidRPr="000149FE">
        <w:rPr>
          <w:rFonts w:asciiTheme="minorHAnsi" w:eastAsia="Calibri" w:hAnsiTheme="minorHAnsi" w:cstheme="minorHAnsi"/>
          <w:b/>
          <w:sz w:val="22"/>
          <w:szCs w:val="22"/>
        </w:rPr>
        <w:t>6</w:t>
      </w:r>
      <w:r w:rsidR="006432F2" w:rsidRPr="000149FE">
        <w:rPr>
          <w:rFonts w:asciiTheme="minorHAnsi" w:eastAsia="Calibri" w:hAnsiTheme="minorHAnsi" w:cstheme="minorHAnsi"/>
          <w:b/>
          <w:sz w:val="22"/>
          <w:szCs w:val="22"/>
        </w:rPr>
        <w:t>0</w:t>
      </w:r>
      <w:r w:rsidRPr="003D3270">
        <w:rPr>
          <w:rFonts w:asciiTheme="minorHAnsi" w:eastAsia="Calibri" w:hAnsiTheme="minorHAnsi" w:cstheme="minorHAnsi"/>
          <w:b/>
          <w:sz w:val="22"/>
          <w:szCs w:val="22"/>
        </w:rPr>
        <w:t xml:space="preserve"> euro al mq commerciale</w:t>
      </w:r>
      <w:r w:rsidR="00F63B06" w:rsidRPr="003D3270">
        <w:rPr>
          <w:rFonts w:asciiTheme="minorHAnsi" w:eastAsia="Calibri" w:hAnsiTheme="minorHAnsi" w:cstheme="minorHAnsi"/>
          <w:sz w:val="22"/>
          <w:szCs w:val="22"/>
        </w:rPr>
        <w:t>,</w:t>
      </w:r>
      <w:r w:rsidRPr="003D3270">
        <w:rPr>
          <w:rFonts w:asciiTheme="minorHAnsi" w:eastAsia="Calibri" w:hAnsiTheme="minorHAnsi" w:cstheme="minorHAnsi"/>
          <w:sz w:val="22"/>
          <w:szCs w:val="22"/>
        </w:rPr>
        <w:t xml:space="preserve"> </w:t>
      </w:r>
      <w:r w:rsidR="00B23B9D" w:rsidRPr="003D3270">
        <w:rPr>
          <w:rFonts w:asciiTheme="minorHAnsi" w:eastAsia="Calibri" w:hAnsiTheme="minorHAnsi" w:cstheme="minorHAnsi"/>
          <w:sz w:val="22"/>
          <w:szCs w:val="22"/>
        </w:rPr>
        <w:t>sintesi dei seguenti valori differenziati per tipologia di località turistica ed abitativa e per localizzazione</w:t>
      </w:r>
      <w:r w:rsidR="00FC7BBB" w:rsidRPr="003D3270">
        <w:rPr>
          <w:rFonts w:asciiTheme="minorHAnsi" w:eastAsia="Calibri" w:hAnsiTheme="minorHAnsi" w:cstheme="minorHAnsi"/>
          <w:sz w:val="22"/>
          <w:szCs w:val="22"/>
        </w:rPr>
        <w: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126"/>
        <w:gridCol w:w="2693"/>
        <w:gridCol w:w="2904"/>
      </w:tblGrid>
      <w:tr w:rsidR="006432F2" w:rsidRPr="003D3270" w:rsidTr="00C72373">
        <w:trPr>
          <w:trHeight w:val="340"/>
          <w:jc w:val="center"/>
        </w:trPr>
        <w:tc>
          <w:tcPr>
            <w:tcW w:w="2055" w:type="dxa"/>
            <w:vAlign w:val="center"/>
          </w:tcPr>
          <w:p w:rsidR="00FC7BBB" w:rsidRPr="003D3270" w:rsidRDefault="00B23B9D" w:rsidP="000D7640">
            <w:pPr>
              <w:jc w:val="left"/>
              <w:rPr>
                <w:rFonts w:asciiTheme="minorHAnsi" w:eastAsia="Calibri" w:hAnsiTheme="minorHAnsi" w:cstheme="minorHAnsi"/>
                <w:sz w:val="20"/>
              </w:rPr>
            </w:pPr>
            <w:r w:rsidRPr="000D7640">
              <w:rPr>
                <w:rFonts w:asciiTheme="minorHAnsi" w:eastAsia="Calibri" w:hAnsiTheme="minorHAnsi" w:cstheme="minorHAnsi"/>
                <w:caps w:val="0"/>
                <w:sz w:val="20"/>
                <w:highlight w:val="yellow"/>
              </w:rPr>
              <w:t xml:space="preserve">Tavola </w:t>
            </w:r>
            <w:r w:rsidR="000D7640" w:rsidRPr="000D7640">
              <w:rPr>
                <w:rFonts w:asciiTheme="minorHAnsi" w:eastAsia="Calibri" w:hAnsiTheme="minorHAnsi" w:cstheme="minorHAnsi"/>
                <w:caps w:val="0"/>
                <w:sz w:val="20"/>
                <w:highlight w:val="yellow"/>
              </w:rPr>
              <w:t>4</w:t>
            </w:r>
          </w:p>
        </w:tc>
        <w:tc>
          <w:tcPr>
            <w:tcW w:w="7723" w:type="dxa"/>
            <w:gridSpan w:val="3"/>
            <w:shd w:val="clear" w:color="auto" w:fill="D9D9D9" w:themeFill="background1" w:themeFillShade="D9"/>
            <w:vAlign w:val="center"/>
          </w:tcPr>
          <w:p w:rsidR="00FC7BBB" w:rsidRPr="003D3270" w:rsidRDefault="00FC7BBB" w:rsidP="00C72373">
            <w:pPr>
              <w:jc w:val="center"/>
              <w:rPr>
                <w:rFonts w:asciiTheme="minorHAnsi" w:eastAsia="Calibri" w:hAnsiTheme="minorHAnsi" w:cstheme="minorHAnsi"/>
                <w:caps w:val="0"/>
                <w:sz w:val="20"/>
              </w:rPr>
            </w:pPr>
            <w:r w:rsidRPr="003D3270">
              <w:rPr>
                <w:rFonts w:asciiTheme="minorHAnsi" w:eastAsia="Calibri" w:hAnsiTheme="minorHAnsi" w:cstheme="minorHAnsi"/>
                <w:caps w:val="0"/>
                <w:sz w:val="20"/>
              </w:rPr>
              <w:t>Prezzo medio</w:t>
            </w:r>
          </w:p>
        </w:tc>
      </w:tr>
      <w:tr w:rsidR="006432F2" w:rsidRPr="003D3270" w:rsidTr="00C72373">
        <w:trPr>
          <w:trHeight w:val="340"/>
          <w:jc w:val="center"/>
        </w:trPr>
        <w:tc>
          <w:tcPr>
            <w:tcW w:w="2055" w:type="dxa"/>
            <w:vAlign w:val="center"/>
          </w:tcPr>
          <w:p w:rsidR="00FC7BBB" w:rsidRPr="003D3270" w:rsidRDefault="00FC7BBB" w:rsidP="00C72373">
            <w:pPr>
              <w:jc w:val="left"/>
              <w:rPr>
                <w:rFonts w:asciiTheme="minorHAnsi" w:eastAsia="Calibri" w:hAnsiTheme="minorHAnsi" w:cstheme="minorHAnsi"/>
                <w:sz w:val="20"/>
              </w:rPr>
            </w:pPr>
          </w:p>
        </w:tc>
        <w:tc>
          <w:tcPr>
            <w:tcW w:w="2126" w:type="dxa"/>
            <w:shd w:val="clear" w:color="auto" w:fill="F2F2F2" w:themeFill="background1" w:themeFillShade="F2"/>
            <w:vAlign w:val="center"/>
          </w:tcPr>
          <w:p w:rsidR="00FC7BBB" w:rsidRPr="003D3270" w:rsidRDefault="00F63B06" w:rsidP="00C72373">
            <w:pPr>
              <w:jc w:val="center"/>
              <w:rPr>
                <w:rFonts w:asciiTheme="minorHAnsi" w:eastAsia="Calibri" w:hAnsiTheme="minorHAnsi" w:cstheme="minorHAnsi"/>
                <w:sz w:val="20"/>
              </w:rPr>
            </w:pPr>
            <w:r w:rsidRPr="003D3270">
              <w:rPr>
                <w:rFonts w:asciiTheme="minorHAnsi" w:eastAsia="Calibri" w:hAnsiTheme="minorHAnsi" w:cstheme="minorHAnsi"/>
                <w:caps w:val="0"/>
                <w:sz w:val="20"/>
              </w:rPr>
              <w:t xml:space="preserve">Abitazioni </w:t>
            </w:r>
            <w:r w:rsidR="00FC7BBB" w:rsidRPr="003D3270">
              <w:rPr>
                <w:rFonts w:asciiTheme="minorHAnsi" w:eastAsia="Calibri" w:hAnsiTheme="minorHAnsi" w:cstheme="minorHAnsi"/>
                <w:caps w:val="0"/>
                <w:sz w:val="20"/>
              </w:rPr>
              <w:t>top nuove</w:t>
            </w:r>
          </w:p>
        </w:tc>
        <w:tc>
          <w:tcPr>
            <w:tcW w:w="2693" w:type="dxa"/>
            <w:shd w:val="clear" w:color="auto" w:fill="F2F2F2" w:themeFill="background1" w:themeFillShade="F2"/>
            <w:vAlign w:val="center"/>
          </w:tcPr>
          <w:p w:rsidR="00FC7BBB" w:rsidRPr="003D3270" w:rsidRDefault="00F63B06" w:rsidP="00C72373">
            <w:pPr>
              <w:jc w:val="center"/>
              <w:rPr>
                <w:rFonts w:asciiTheme="minorHAnsi" w:eastAsia="Calibri" w:hAnsiTheme="minorHAnsi" w:cstheme="minorHAnsi"/>
                <w:sz w:val="20"/>
              </w:rPr>
            </w:pPr>
            <w:r w:rsidRPr="003D3270">
              <w:rPr>
                <w:rFonts w:asciiTheme="minorHAnsi" w:eastAsia="Calibri" w:hAnsiTheme="minorHAnsi" w:cstheme="minorHAnsi"/>
                <w:caps w:val="0"/>
                <w:sz w:val="20"/>
              </w:rPr>
              <w:t>Abitazioni centrali usate</w:t>
            </w:r>
          </w:p>
        </w:tc>
        <w:tc>
          <w:tcPr>
            <w:tcW w:w="2904" w:type="dxa"/>
            <w:shd w:val="clear" w:color="auto" w:fill="F2F2F2" w:themeFill="background1" w:themeFillShade="F2"/>
            <w:vAlign w:val="center"/>
          </w:tcPr>
          <w:p w:rsidR="00FC7BBB" w:rsidRPr="003D3270" w:rsidRDefault="00F63B06" w:rsidP="00C72373">
            <w:pPr>
              <w:jc w:val="center"/>
              <w:rPr>
                <w:rFonts w:asciiTheme="minorHAnsi" w:eastAsia="Calibri" w:hAnsiTheme="minorHAnsi" w:cstheme="minorHAnsi"/>
                <w:sz w:val="20"/>
              </w:rPr>
            </w:pPr>
            <w:r w:rsidRPr="003D3270">
              <w:rPr>
                <w:rFonts w:asciiTheme="minorHAnsi" w:eastAsia="Calibri" w:hAnsiTheme="minorHAnsi" w:cstheme="minorHAnsi"/>
                <w:caps w:val="0"/>
                <w:sz w:val="20"/>
              </w:rPr>
              <w:t>Abitazioni periferiche usate</w:t>
            </w:r>
          </w:p>
        </w:tc>
      </w:tr>
      <w:tr w:rsidR="006432F2" w:rsidRPr="003D3270" w:rsidTr="00C72373">
        <w:trPr>
          <w:trHeight w:val="340"/>
          <w:jc w:val="center"/>
        </w:trPr>
        <w:tc>
          <w:tcPr>
            <w:tcW w:w="2055" w:type="dxa"/>
            <w:shd w:val="clear" w:color="auto" w:fill="DBE5F1" w:themeFill="accent1" w:themeFillTint="33"/>
            <w:vAlign w:val="center"/>
          </w:tcPr>
          <w:p w:rsidR="00FC7BBB" w:rsidRPr="003D3270" w:rsidRDefault="00F63B06" w:rsidP="00C72373">
            <w:pPr>
              <w:jc w:val="left"/>
              <w:rPr>
                <w:rFonts w:asciiTheme="minorHAnsi" w:eastAsia="Calibri" w:hAnsiTheme="minorHAnsi" w:cstheme="minorHAnsi"/>
                <w:sz w:val="20"/>
              </w:rPr>
            </w:pPr>
            <w:r w:rsidRPr="003D3270">
              <w:rPr>
                <w:rFonts w:asciiTheme="minorHAnsi" w:eastAsia="Calibri" w:hAnsiTheme="minorHAnsi" w:cstheme="minorHAnsi"/>
                <w:caps w:val="0"/>
                <w:sz w:val="20"/>
              </w:rPr>
              <w:t>L</w:t>
            </w:r>
            <w:r w:rsidR="00FC7BBB" w:rsidRPr="003D3270">
              <w:rPr>
                <w:rFonts w:asciiTheme="minorHAnsi" w:eastAsia="Calibri" w:hAnsiTheme="minorHAnsi" w:cstheme="minorHAnsi"/>
                <w:caps w:val="0"/>
                <w:sz w:val="20"/>
              </w:rPr>
              <w:t>ocalità marine</w:t>
            </w:r>
          </w:p>
        </w:tc>
        <w:tc>
          <w:tcPr>
            <w:tcW w:w="2126" w:type="dxa"/>
            <w:shd w:val="clear" w:color="auto" w:fill="DBE5F1" w:themeFill="accent1" w:themeFillTint="33"/>
            <w:vAlign w:val="center"/>
          </w:tcPr>
          <w:p w:rsidR="00FC7BBB" w:rsidRPr="003D3270" w:rsidRDefault="00FC7BBB" w:rsidP="006432F2">
            <w:pPr>
              <w:jc w:val="center"/>
              <w:rPr>
                <w:rFonts w:asciiTheme="minorHAnsi" w:eastAsia="Calibri" w:hAnsiTheme="minorHAnsi" w:cstheme="minorHAnsi"/>
                <w:b w:val="0"/>
                <w:sz w:val="20"/>
              </w:rPr>
            </w:pPr>
            <w:r w:rsidRPr="003D3270">
              <w:rPr>
                <w:rFonts w:asciiTheme="minorHAnsi" w:eastAsia="Calibri" w:hAnsiTheme="minorHAnsi" w:cstheme="minorHAnsi"/>
                <w:b w:val="0"/>
                <w:caps w:val="0"/>
                <w:sz w:val="20"/>
              </w:rPr>
              <w:t>3.</w:t>
            </w:r>
            <w:r w:rsidR="006432F2" w:rsidRPr="003D3270">
              <w:rPr>
                <w:rFonts w:asciiTheme="minorHAnsi" w:eastAsia="Calibri" w:hAnsiTheme="minorHAnsi" w:cstheme="minorHAnsi"/>
                <w:b w:val="0"/>
                <w:caps w:val="0"/>
                <w:sz w:val="20"/>
              </w:rPr>
              <w:t>035</w:t>
            </w:r>
            <w:r w:rsidRPr="003D3270">
              <w:rPr>
                <w:rFonts w:asciiTheme="minorHAnsi" w:eastAsia="Calibri" w:hAnsiTheme="minorHAnsi" w:cstheme="minorHAnsi"/>
                <w:b w:val="0"/>
                <w:caps w:val="0"/>
                <w:sz w:val="20"/>
              </w:rPr>
              <w:t>€/mq</w:t>
            </w:r>
          </w:p>
        </w:tc>
        <w:tc>
          <w:tcPr>
            <w:tcW w:w="2693" w:type="dxa"/>
            <w:shd w:val="clear" w:color="auto" w:fill="DBE5F1" w:themeFill="accent1" w:themeFillTint="33"/>
            <w:vAlign w:val="center"/>
          </w:tcPr>
          <w:p w:rsidR="00FC7BBB" w:rsidRPr="003D3270" w:rsidRDefault="00FC7BBB" w:rsidP="006432F2">
            <w:pPr>
              <w:jc w:val="center"/>
              <w:rPr>
                <w:rFonts w:asciiTheme="minorHAnsi" w:eastAsia="Calibri" w:hAnsiTheme="minorHAnsi" w:cstheme="minorHAnsi"/>
                <w:b w:val="0"/>
                <w:sz w:val="20"/>
              </w:rPr>
            </w:pPr>
            <w:r w:rsidRPr="003D3270">
              <w:rPr>
                <w:rFonts w:asciiTheme="minorHAnsi" w:eastAsia="Calibri" w:hAnsiTheme="minorHAnsi" w:cstheme="minorHAnsi"/>
                <w:b w:val="0"/>
                <w:caps w:val="0"/>
                <w:sz w:val="20"/>
              </w:rPr>
              <w:t>2.</w:t>
            </w:r>
            <w:r w:rsidR="006432F2" w:rsidRPr="003D3270">
              <w:rPr>
                <w:rFonts w:asciiTheme="minorHAnsi" w:eastAsia="Calibri" w:hAnsiTheme="minorHAnsi" w:cstheme="minorHAnsi"/>
                <w:b w:val="0"/>
                <w:caps w:val="0"/>
                <w:sz w:val="20"/>
              </w:rPr>
              <w:t>245</w:t>
            </w:r>
            <w:r w:rsidRPr="003D3270">
              <w:rPr>
                <w:rFonts w:asciiTheme="minorHAnsi" w:eastAsia="Calibri" w:hAnsiTheme="minorHAnsi" w:cstheme="minorHAnsi"/>
                <w:b w:val="0"/>
                <w:caps w:val="0"/>
                <w:sz w:val="20"/>
              </w:rPr>
              <w:t xml:space="preserve"> €/mq</w:t>
            </w:r>
          </w:p>
        </w:tc>
        <w:tc>
          <w:tcPr>
            <w:tcW w:w="2904" w:type="dxa"/>
            <w:shd w:val="clear" w:color="auto" w:fill="DBE5F1" w:themeFill="accent1" w:themeFillTint="33"/>
            <w:vAlign w:val="center"/>
          </w:tcPr>
          <w:p w:rsidR="00FC7BBB" w:rsidRPr="003D3270" w:rsidRDefault="00FC7BBB" w:rsidP="006432F2">
            <w:pPr>
              <w:jc w:val="center"/>
              <w:rPr>
                <w:rFonts w:asciiTheme="minorHAnsi" w:eastAsia="Calibri" w:hAnsiTheme="minorHAnsi" w:cstheme="minorHAnsi"/>
                <w:b w:val="0"/>
                <w:sz w:val="20"/>
              </w:rPr>
            </w:pPr>
            <w:r w:rsidRPr="003D3270">
              <w:rPr>
                <w:rFonts w:asciiTheme="minorHAnsi" w:eastAsia="Calibri" w:hAnsiTheme="minorHAnsi" w:cstheme="minorHAnsi"/>
                <w:b w:val="0"/>
                <w:caps w:val="0"/>
                <w:sz w:val="20"/>
              </w:rPr>
              <w:t>1.</w:t>
            </w:r>
            <w:r w:rsidR="006432F2" w:rsidRPr="003D3270">
              <w:rPr>
                <w:rFonts w:asciiTheme="minorHAnsi" w:eastAsia="Calibri" w:hAnsiTheme="minorHAnsi" w:cstheme="minorHAnsi"/>
                <w:b w:val="0"/>
                <w:caps w:val="0"/>
                <w:sz w:val="20"/>
              </w:rPr>
              <w:t>655</w:t>
            </w:r>
            <w:r w:rsidRPr="003D3270">
              <w:rPr>
                <w:rFonts w:asciiTheme="minorHAnsi" w:eastAsia="Calibri" w:hAnsiTheme="minorHAnsi" w:cstheme="minorHAnsi"/>
                <w:b w:val="0"/>
                <w:caps w:val="0"/>
                <w:sz w:val="20"/>
              </w:rPr>
              <w:t xml:space="preserve"> €/mq</w:t>
            </w:r>
          </w:p>
        </w:tc>
      </w:tr>
      <w:tr w:rsidR="006432F2" w:rsidRPr="003D3270" w:rsidTr="00C72373">
        <w:trPr>
          <w:trHeight w:val="340"/>
          <w:jc w:val="center"/>
        </w:trPr>
        <w:tc>
          <w:tcPr>
            <w:tcW w:w="2055" w:type="dxa"/>
            <w:shd w:val="clear" w:color="auto" w:fill="DBE5F1" w:themeFill="accent1" w:themeFillTint="33"/>
            <w:vAlign w:val="center"/>
          </w:tcPr>
          <w:p w:rsidR="00FC7BBB" w:rsidRPr="003D3270" w:rsidRDefault="00F63B06" w:rsidP="00C72373">
            <w:pPr>
              <w:jc w:val="left"/>
              <w:rPr>
                <w:rFonts w:asciiTheme="minorHAnsi" w:eastAsia="Calibri" w:hAnsiTheme="minorHAnsi" w:cstheme="minorHAnsi"/>
                <w:sz w:val="20"/>
              </w:rPr>
            </w:pPr>
            <w:r w:rsidRPr="003D3270">
              <w:rPr>
                <w:rFonts w:asciiTheme="minorHAnsi" w:eastAsia="Calibri" w:hAnsiTheme="minorHAnsi" w:cstheme="minorHAnsi"/>
                <w:caps w:val="0"/>
                <w:sz w:val="20"/>
              </w:rPr>
              <w:t>L</w:t>
            </w:r>
            <w:r w:rsidR="00FC7BBB" w:rsidRPr="003D3270">
              <w:rPr>
                <w:rFonts w:asciiTheme="minorHAnsi" w:eastAsia="Calibri" w:hAnsiTheme="minorHAnsi" w:cstheme="minorHAnsi"/>
                <w:caps w:val="0"/>
                <w:sz w:val="20"/>
              </w:rPr>
              <w:t>ocalità montane</w:t>
            </w:r>
          </w:p>
        </w:tc>
        <w:tc>
          <w:tcPr>
            <w:tcW w:w="2126" w:type="dxa"/>
            <w:shd w:val="clear" w:color="auto" w:fill="DBE5F1" w:themeFill="accent1" w:themeFillTint="33"/>
            <w:vAlign w:val="center"/>
          </w:tcPr>
          <w:p w:rsidR="00FC7BBB" w:rsidRPr="003D3270" w:rsidRDefault="00FC7BBB" w:rsidP="006432F2">
            <w:pPr>
              <w:jc w:val="center"/>
              <w:rPr>
                <w:rFonts w:asciiTheme="minorHAnsi" w:eastAsia="Calibri" w:hAnsiTheme="minorHAnsi" w:cstheme="minorHAnsi"/>
                <w:b w:val="0"/>
                <w:sz w:val="20"/>
              </w:rPr>
            </w:pPr>
            <w:r w:rsidRPr="003D3270">
              <w:rPr>
                <w:rFonts w:asciiTheme="minorHAnsi" w:eastAsia="Calibri" w:hAnsiTheme="minorHAnsi" w:cstheme="minorHAnsi"/>
                <w:b w:val="0"/>
                <w:caps w:val="0"/>
                <w:sz w:val="20"/>
              </w:rPr>
              <w:t>3.</w:t>
            </w:r>
            <w:r w:rsidR="006432F2" w:rsidRPr="003D3270">
              <w:rPr>
                <w:rFonts w:asciiTheme="minorHAnsi" w:eastAsia="Calibri" w:hAnsiTheme="minorHAnsi" w:cstheme="minorHAnsi"/>
                <w:b w:val="0"/>
                <w:caps w:val="0"/>
                <w:sz w:val="20"/>
              </w:rPr>
              <w:t>385</w:t>
            </w:r>
            <w:r w:rsidRPr="003D3270">
              <w:rPr>
                <w:rFonts w:asciiTheme="minorHAnsi" w:eastAsia="Calibri" w:hAnsiTheme="minorHAnsi" w:cstheme="minorHAnsi"/>
                <w:b w:val="0"/>
                <w:caps w:val="0"/>
                <w:sz w:val="20"/>
              </w:rPr>
              <w:t xml:space="preserve"> €/mq</w:t>
            </w:r>
          </w:p>
        </w:tc>
        <w:tc>
          <w:tcPr>
            <w:tcW w:w="2693" w:type="dxa"/>
            <w:shd w:val="clear" w:color="auto" w:fill="DBE5F1" w:themeFill="accent1" w:themeFillTint="33"/>
            <w:vAlign w:val="center"/>
          </w:tcPr>
          <w:p w:rsidR="00FC7BBB" w:rsidRPr="003D3270" w:rsidRDefault="00FC7BBB" w:rsidP="006432F2">
            <w:pPr>
              <w:jc w:val="center"/>
              <w:rPr>
                <w:rFonts w:asciiTheme="minorHAnsi" w:eastAsia="Calibri" w:hAnsiTheme="minorHAnsi" w:cstheme="minorHAnsi"/>
                <w:b w:val="0"/>
                <w:sz w:val="20"/>
              </w:rPr>
            </w:pPr>
            <w:r w:rsidRPr="003D3270">
              <w:rPr>
                <w:rFonts w:asciiTheme="minorHAnsi" w:eastAsia="Calibri" w:hAnsiTheme="minorHAnsi" w:cstheme="minorHAnsi"/>
                <w:b w:val="0"/>
                <w:caps w:val="0"/>
                <w:sz w:val="20"/>
              </w:rPr>
              <w:t>2.</w:t>
            </w:r>
            <w:r w:rsidR="006432F2" w:rsidRPr="003D3270">
              <w:rPr>
                <w:rFonts w:asciiTheme="minorHAnsi" w:eastAsia="Calibri" w:hAnsiTheme="minorHAnsi" w:cstheme="minorHAnsi"/>
                <w:b w:val="0"/>
                <w:caps w:val="0"/>
                <w:sz w:val="20"/>
              </w:rPr>
              <w:t>515</w:t>
            </w:r>
            <w:r w:rsidRPr="003D3270">
              <w:rPr>
                <w:rFonts w:asciiTheme="minorHAnsi" w:eastAsia="Calibri" w:hAnsiTheme="minorHAnsi" w:cstheme="minorHAnsi"/>
                <w:b w:val="0"/>
                <w:caps w:val="0"/>
                <w:sz w:val="20"/>
              </w:rPr>
              <w:t xml:space="preserve"> €/mq</w:t>
            </w:r>
          </w:p>
        </w:tc>
        <w:tc>
          <w:tcPr>
            <w:tcW w:w="2904" w:type="dxa"/>
            <w:shd w:val="clear" w:color="auto" w:fill="DBE5F1" w:themeFill="accent1" w:themeFillTint="33"/>
            <w:vAlign w:val="center"/>
          </w:tcPr>
          <w:p w:rsidR="00FC7BBB" w:rsidRPr="003D3270" w:rsidRDefault="00FC7BBB" w:rsidP="00707A17">
            <w:pPr>
              <w:jc w:val="center"/>
              <w:rPr>
                <w:rFonts w:asciiTheme="minorHAnsi" w:eastAsia="Calibri" w:hAnsiTheme="minorHAnsi" w:cstheme="minorHAnsi"/>
                <w:b w:val="0"/>
                <w:sz w:val="20"/>
              </w:rPr>
            </w:pPr>
            <w:r w:rsidRPr="003D3270">
              <w:rPr>
                <w:rFonts w:asciiTheme="minorHAnsi" w:eastAsia="Calibri" w:hAnsiTheme="minorHAnsi" w:cstheme="minorHAnsi"/>
                <w:b w:val="0"/>
                <w:caps w:val="0"/>
                <w:sz w:val="20"/>
              </w:rPr>
              <w:t>1.</w:t>
            </w:r>
            <w:r w:rsidR="006432F2" w:rsidRPr="003D3270">
              <w:rPr>
                <w:rFonts w:asciiTheme="minorHAnsi" w:eastAsia="Calibri" w:hAnsiTheme="minorHAnsi" w:cstheme="minorHAnsi"/>
                <w:b w:val="0"/>
                <w:caps w:val="0"/>
                <w:sz w:val="20"/>
              </w:rPr>
              <w:t>69</w:t>
            </w:r>
            <w:r w:rsidR="00707A17" w:rsidRPr="003D3270">
              <w:rPr>
                <w:rFonts w:asciiTheme="minorHAnsi" w:eastAsia="Calibri" w:hAnsiTheme="minorHAnsi" w:cstheme="minorHAnsi"/>
                <w:b w:val="0"/>
                <w:caps w:val="0"/>
                <w:sz w:val="20"/>
              </w:rPr>
              <w:t>0</w:t>
            </w:r>
            <w:r w:rsidRPr="003D3270">
              <w:rPr>
                <w:rFonts w:asciiTheme="minorHAnsi" w:eastAsia="Calibri" w:hAnsiTheme="minorHAnsi" w:cstheme="minorHAnsi"/>
                <w:b w:val="0"/>
                <w:caps w:val="0"/>
                <w:sz w:val="20"/>
              </w:rPr>
              <w:t xml:space="preserve"> €/mq</w:t>
            </w:r>
          </w:p>
        </w:tc>
      </w:tr>
      <w:tr w:rsidR="006432F2" w:rsidRPr="003D3270" w:rsidTr="00C72373">
        <w:trPr>
          <w:trHeight w:val="340"/>
          <w:jc w:val="center"/>
        </w:trPr>
        <w:tc>
          <w:tcPr>
            <w:tcW w:w="2055" w:type="dxa"/>
            <w:shd w:val="clear" w:color="auto" w:fill="DBE5F1" w:themeFill="accent1" w:themeFillTint="33"/>
            <w:vAlign w:val="center"/>
          </w:tcPr>
          <w:p w:rsidR="006432F2" w:rsidRPr="003D3270" w:rsidRDefault="006432F2" w:rsidP="006432F2">
            <w:pPr>
              <w:jc w:val="left"/>
              <w:rPr>
                <w:rFonts w:asciiTheme="minorHAnsi" w:eastAsia="Calibri" w:hAnsiTheme="minorHAnsi" w:cstheme="minorHAnsi"/>
                <w:caps w:val="0"/>
                <w:sz w:val="20"/>
              </w:rPr>
            </w:pPr>
            <w:r w:rsidRPr="003D3270">
              <w:rPr>
                <w:rFonts w:asciiTheme="minorHAnsi" w:eastAsia="Calibri" w:hAnsiTheme="minorHAnsi" w:cstheme="minorHAnsi"/>
                <w:caps w:val="0"/>
                <w:sz w:val="20"/>
              </w:rPr>
              <w:t>Località lacuali</w:t>
            </w:r>
          </w:p>
        </w:tc>
        <w:tc>
          <w:tcPr>
            <w:tcW w:w="2126" w:type="dxa"/>
            <w:shd w:val="clear" w:color="auto" w:fill="DBE5F1" w:themeFill="accent1" w:themeFillTint="33"/>
            <w:vAlign w:val="center"/>
          </w:tcPr>
          <w:p w:rsidR="006432F2" w:rsidRPr="003D3270" w:rsidRDefault="006432F2" w:rsidP="006432F2">
            <w:pPr>
              <w:jc w:val="center"/>
              <w:rPr>
                <w:rFonts w:asciiTheme="minorHAnsi" w:eastAsia="Calibri" w:hAnsiTheme="minorHAnsi" w:cstheme="minorHAnsi"/>
                <w:b w:val="0"/>
                <w:sz w:val="20"/>
              </w:rPr>
            </w:pPr>
            <w:r w:rsidRPr="003D3270">
              <w:rPr>
                <w:rFonts w:asciiTheme="minorHAnsi" w:eastAsia="Calibri" w:hAnsiTheme="minorHAnsi" w:cstheme="minorHAnsi"/>
                <w:b w:val="0"/>
                <w:caps w:val="0"/>
                <w:sz w:val="20"/>
              </w:rPr>
              <w:t>2.690 €/mq</w:t>
            </w:r>
          </w:p>
        </w:tc>
        <w:tc>
          <w:tcPr>
            <w:tcW w:w="2693" w:type="dxa"/>
            <w:shd w:val="clear" w:color="auto" w:fill="DBE5F1" w:themeFill="accent1" w:themeFillTint="33"/>
            <w:vAlign w:val="center"/>
          </w:tcPr>
          <w:p w:rsidR="006432F2" w:rsidRPr="003D3270" w:rsidRDefault="006432F2" w:rsidP="006432F2">
            <w:pPr>
              <w:jc w:val="center"/>
              <w:rPr>
                <w:rFonts w:asciiTheme="minorHAnsi" w:eastAsia="Calibri" w:hAnsiTheme="minorHAnsi" w:cstheme="minorHAnsi"/>
                <w:b w:val="0"/>
                <w:sz w:val="20"/>
              </w:rPr>
            </w:pPr>
            <w:r w:rsidRPr="003D3270">
              <w:rPr>
                <w:rFonts w:asciiTheme="minorHAnsi" w:eastAsia="Calibri" w:hAnsiTheme="minorHAnsi" w:cstheme="minorHAnsi"/>
                <w:b w:val="0"/>
                <w:caps w:val="0"/>
                <w:sz w:val="20"/>
              </w:rPr>
              <w:t>1.805 €/mq</w:t>
            </w:r>
          </w:p>
        </w:tc>
        <w:tc>
          <w:tcPr>
            <w:tcW w:w="2904" w:type="dxa"/>
            <w:shd w:val="clear" w:color="auto" w:fill="DBE5F1" w:themeFill="accent1" w:themeFillTint="33"/>
            <w:vAlign w:val="center"/>
          </w:tcPr>
          <w:p w:rsidR="006432F2" w:rsidRPr="003D3270" w:rsidRDefault="006432F2" w:rsidP="006432F2">
            <w:pPr>
              <w:jc w:val="center"/>
              <w:rPr>
                <w:rFonts w:asciiTheme="minorHAnsi" w:eastAsia="Calibri" w:hAnsiTheme="minorHAnsi" w:cstheme="minorHAnsi"/>
                <w:b w:val="0"/>
                <w:sz w:val="20"/>
              </w:rPr>
            </w:pPr>
            <w:r w:rsidRPr="003D3270">
              <w:rPr>
                <w:rFonts w:asciiTheme="minorHAnsi" w:eastAsia="Calibri" w:hAnsiTheme="minorHAnsi" w:cstheme="minorHAnsi"/>
                <w:b w:val="0"/>
                <w:caps w:val="0"/>
                <w:sz w:val="20"/>
              </w:rPr>
              <w:t>1.315 €/mq</w:t>
            </w:r>
          </w:p>
        </w:tc>
      </w:tr>
    </w:tbl>
    <w:p w:rsidR="008D7331" w:rsidRPr="003D3270" w:rsidRDefault="008D7331" w:rsidP="008D7331">
      <w:pPr>
        <w:spacing w:before="60"/>
        <w:rPr>
          <w:rFonts w:asciiTheme="minorHAnsi" w:eastAsia="Calibri" w:hAnsiTheme="minorHAnsi" w:cstheme="minorHAnsi"/>
          <w:sz w:val="18"/>
        </w:rPr>
      </w:pPr>
      <w:r w:rsidRPr="003D3270">
        <w:rPr>
          <w:rFonts w:asciiTheme="minorHAnsi" w:eastAsia="Calibri" w:hAnsiTheme="minorHAnsi" w:cstheme="minorHAnsi"/>
          <w:sz w:val="18"/>
        </w:rPr>
        <w:t>Fonte: Nomisma e Fimaa</w:t>
      </w:r>
      <w:r w:rsidR="00AC5889" w:rsidRPr="003D3270">
        <w:rPr>
          <w:rFonts w:asciiTheme="minorHAnsi" w:eastAsia="Calibri" w:hAnsiTheme="minorHAnsi" w:cstheme="minorHAnsi"/>
          <w:sz w:val="18"/>
        </w:rPr>
        <w:t>-Confcommercio</w:t>
      </w:r>
    </w:p>
    <w:p w:rsidR="00FC7BBB" w:rsidRPr="003D3270" w:rsidRDefault="00FC7BBB" w:rsidP="00364602">
      <w:pPr>
        <w:rPr>
          <w:rFonts w:asciiTheme="minorHAnsi" w:eastAsia="Calibri" w:hAnsiTheme="minorHAnsi" w:cstheme="minorHAnsi"/>
          <w:sz w:val="22"/>
          <w:szCs w:val="24"/>
        </w:rPr>
      </w:pPr>
    </w:p>
    <w:p w:rsidR="00730030" w:rsidRPr="003D3270" w:rsidRDefault="00DB5FBA" w:rsidP="00364602">
      <w:pPr>
        <w:rPr>
          <w:rFonts w:asciiTheme="minorHAnsi" w:eastAsia="Calibri" w:hAnsiTheme="minorHAnsi" w:cstheme="minorHAnsi"/>
          <w:sz w:val="22"/>
          <w:szCs w:val="22"/>
        </w:rPr>
      </w:pPr>
      <w:r w:rsidRPr="003D3270">
        <w:rPr>
          <w:rFonts w:asciiTheme="minorHAnsi" w:eastAsia="Calibri" w:hAnsiTheme="minorHAnsi" w:cstheme="minorHAnsi"/>
          <w:sz w:val="22"/>
          <w:szCs w:val="22"/>
        </w:rPr>
        <w:t xml:space="preserve">Le località </w:t>
      </w:r>
      <w:r w:rsidR="002D78BD" w:rsidRPr="003D3270">
        <w:rPr>
          <w:rFonts w:asciiTheme="minorHAnsi" w:eastAsia="Calibri" w:hAnsiTheme="minorHAnsi" w:cstheme="minorHAnsi"/>
          <w:sz w:val="22"/>
          <w:szCs w:val="22"/>
        </w:rPr>
        <w:t xml:space="preserve">che </w:t>
      </w:r>
      <w:r w:rsidR="00F63B06" w:rsidRPr="003D3270">
        <w:rPr>
          <w:rFonts w:asciiTheme="minorHAnsi" w:eastAsia="Calibri" w:hAnsiTheme="minorHAnsi" w:cstheme="minorHAnsi"/>
          <w:sz w:val="22"/>
          <w:szCs w:val="22"/>
        </w:rPr>
        <w:t>rappresentano</w:t>
      </w:r>
      <w:r w:rsidRPr="003D3270">
        <w:rPr>
          <w:rFonts w:asciiTheme="minorHAnsi" w:eastAsia="Calibri" w:hAnsiTheme="minorHAnsi" w:cstheme="minorHAnsi"/>
          <w:sz w:val="22"/>
          <w:szCs w:val="22"/>
        </w:rPr>
        <w:t xml:space="preserve"> gli estremi </w:t>
      </w:r>
      <w:r w:rsidR="00F63B06" w:rsidRPr="003D3270">
        <w:rPr>
          <w:rFonts w:asciiTheme="minorHAnsi" w:eastAsia="Calibri" w:hAnsiTheme="minorHAnsi" w:cstheme="minorHAnsi"/>
          <w:sz w:val="22"/>
          <w:szCs w:val="22"/>
        </w:rPr>
        <w:t xml:space="preserve">dell’ampio range </w:t>
      </w:r>
      <w:r w:rsidRPr="003D3270">
        <w:rPr>
          <w:rFonts w:asciiTheme="minorHAnsi" w:eastAsia="Calibri" w:hAnsiTheme="minorHAnsi" w:cstheme="minorHAnsi"/>
          <w:sz w:val="22"/>
          <w:szCs w:val="22"/>
        </w:rPr>
        <w:t>dei prezzi delle abitazioni nelle località turistiche sono Santa Margherita Ligure</w:t>
      </w:r>
      <w:r w:rsidR="00F63B06" w:rsidRPr="003D3270">
        <w:rPr>
          <w:rFonts w:asciiTheme="minorHAnsi" w:eastAsia="Calibri" w:hAnsiTheme="minorHAnsi" w:cstheme="minorHAnsi"/>
          <w:sz w:val="22"/>
          <w:szCs w:val="22"/>
        </w:rPr>
        <w:t xml:space="preserve"> </w:t>
      </w:r>
      <w:r w:rsidR="001C12EE" w:rsidRPr="003D3270">
        <w:rPr>
          <w:rFonts w:asciiTheme="minorHAnsi" w:eastAsia="Calibri" w:hAnsiTheme="minorHAnsi" w:cstheme="minorHAnsi"/>
          <w:sz w:val="22"/>
          <w:szCs w:val="22"/>
        </w:rPr>
        <w:t xml:space="preserve">(GE) </w:t>
      </w:r>
      <w:r w:rsidRPr="003D3270">
        <w:rPr>
          <w:rFonts w:asciiTheme="minorHAnsi" w:eastAsia="Calibri" w:hAnsiTheme="minorHAnsi" w:cstheme="minorHAnsi"/>
          <w:sz w:val="22"/>
          <w:szCs w:val="22"/>
        </w:rPr>
        <w:t>per l’estremo superiore</w:t>
      </w:r>
      <w:r w:rsidR="00F63B06" w:rsidRPr="003D3270">
        <w:rPr>
          <w:rFonts w:asciiTheme="minorHAnsi" w:eastAsia="Calibri" w:hAnsiTheme="minorHAnsi" w:cstheme="minorHAnsi"/>
          <w:sz w:val="22"/>
          <w:szCs w:val="22"/>
        </w:rPr>
        <w:t>,</w:t>
      </w:r>
      <w:r w:rsidRPr="003D3270">
        <w:rPr>
          <w:rFonts w:asciiTheme="minorHAnsi" w:eastAsia="Calibri" w:hAnsiTheme="minorHAnsi" w:cstheme="minorHAnsi"/>
          <w:sz w:val="22"/>
          <w:szCs w:val="22"/>
        </w:rPr>
        <w:t xml:space="preserve"> con </w:t>
      </w:r>
      <w:r w:rsidR="00F63B06" w:rsidRPr="003D3270">
        <w:rPr>
          <w:rFonts w:asciiTheme="minorHAnsi" w:eastAsia="Calibri" w:hAnsiTheme="minorHAnsi" w:cstheme="minorHAnsi"/>
          <w:sz w:val="22"/>
          <w:szCs w:val="22"/>
        </w:rPr>
        <w:t xml:space="preserve">quotazioni </w:t>
      </w:r>
      <w:r w:rsidR="00EC469A" w:rsidRPr="003D3270">
        <w:rPr>
          <w:rFonts w:asciiTheme="minorHAnsi" w:eastAsia="Calibri" w:hAnsiTheme="minorHAnsi" w:cstheme="minorHAnsi"/>
          <w:sz w:val="22"/>
          <w:szCs w:val="22"/>
        </w:rPr>
        <w:t xml:space="preserve">sul mercato top </w:t>
      </w:r>
      <w:r w:rsidR="00C72373" w:rsidRPr="003D3270">
        <w:rPr>
          <w:rFonts w:asciiTheme="minorHAnsi" w:eastAsia="Calibri" w:hAnsiTheme="minorHAnsi" w:cstheme="minorHAnsi"/>
          <w:sz w:val="22"/>
          <w:szCs w:val="22"/>
        </w:rPr>
        <w:t xml:space="preserve">che arrivano fino a </w:t>
      </w:r>
      <w:r w:rsidR="00F63B06" w:rsidRPr="003D3270">
        <w:rPr>
          <w:rFonts w:asciiTheme="minorHAnsi" w:eastAsia="Calibri" w:hAnsiTheme="minorHAnsi" w:cstheme="minorHAnsi"/>
          <w:sz w:val="22"/>
          <w:szCs w:val="22"/>
        </w:rPr>
        <w:t>1</w:t>
      </w:r>
      <w:r w:rsidR="00EE325E" w:rsidRPr="003D3270">
        <w:rPr>
          <w:rFonts w:asciiTheme="minorHAnsi" w:eastAsia="Calibri" w:hAnsiTheme="minorHAnsi" w:cstheme="minorHAnsi"/>
          <w:sz w:val="22"/>
          <w:szCs w:val="22"/>
        </w:rPr>
        <w:t>4</w:t>
      </w:r>
      <w:r w:rsidR="00F63B06" w:rsidRPr="003D3270">
        <w:rPr>
          <w:rFonts w:asciiTheme="minorHAnsi" w:eastAsia="Calibri" w:hAnsiTheme="minorHAnsi" w:cstheme="minorHAnsi"/>
          <w:sz w:val="22"/>
          <w:szCs w:val="22"/>
        </w:rPr>
        <w:t>.</w:t>
      </w:r>
      <w:r w:rsidR="00C72373" w:rsidRPr="003D3270">
        <w:rPr>
          <w:rFonts w:asciiTheme="minorHAnsi" w:eastAsia="Calibri" w:hAnsiTheme="minorHAnsi" w:cstheme="minorHAnsi"/>
          <w:sz w:val="22"/>
          <w:szCs w:val="22"/>
        </w:rPr>
        <w:t>5</w:t>
      </w:r>
      <w:r w:rsidR="00F63B06" w:rsidRPr="003D3270">
        <w:rPr>
          <w:rFonts w:asciiTheme="minorHAnsi" w:eastAsia="Calibri" w:hAnsiTheme="minorHAnsi" w:cstheme="minorHAnsi"/>
          <w:sz w:val="22"/>
          <w:szCs w:val="22"/>
        </w:rPr>
        <w:t>00 €/mq</w:t>
      </w:r>
      <w:r w:rsidR="00C72373" w:rsidRPr="003D3270">
        <w:rPr>
          <w:rFonts w:asciiTheme="minorHAnsi" w:eastAsia="Calibri" w:hAnsiTheme="minorHAnsi" w:cstheme="minorHAnsi"/>
          <w:sz w:val="22"/>
          <w:szCs w:val="22"/>
        </w:rPr>
        <w:t>,</w:t>
      </w:r>
      <w:r w:rsidR="00F63B06" w:rsidRPr="003D3270">
        <w:rPr>
          <w:rFonts w:asciiTheme="minorHAnsi" w:eastAsia="Calibri" w:hAnsiTheme="minorHAnsi" w:cstheme="minorHAnsi"/>
          <w:sz w:val="22"/>
          <w:szCs w:val="22"/>
        </w:rPr>
        <w:t xml:space="preserve"> e </w:t>
      </w:r>
      <w:r w:rsidR="0009799C" w:rsidRPr="003D3270">
        <w:rPr>
          <w:rFonts w:asciiTheme="minorHAnsi" w:eastAsia="Calibri" w:hAnsiTheme="minorHAnsi" w:cstheme="minorHAnsi"/>
          <w:sz w:val="22"/>
          <w:szCs w:val="22"/>
        </w:rPr>
        <w:t>Serra San Bruno (VV) e Porto Rosa (ME)</w:t>
      </w:r>
      <w:r w:rsidR="00EC469A" w:rsidRPr="003D3270">
        <w:rPr>
          <w:rFonts w:asciiTheme="minorHAnsi" w:eastAsia="Calibri" w:hAnsiTheme="minorHAnsi" w:cstheme="minorHAnsi"/>
          <w:sz w:val="22"/>
          <w:szCs w:val="22"/>
        </w:rPr>
        <w:t xml:space="preserve"> </w:t>
      </w:r>
      <w:r w:rsidR="00F63B06" w:rsidRPr="003D3270">
        <w:rPr>
          <w:rFonts w:asciiTheme="minorHAnsi" w:eastAsia="Calibri" w:hAnsiTheme="minorHAnsi" w:cstheme="minorHAnsi"/>
          <w:sz w:val="22"/>
          <w:szCs w:val="22"/>
        </w:rPr>
        <w:t xml:space="preserve">per quello </w:t>
      </w:r>
      <w:r w:rsidRPr="003D3270">
        <w:rPr>
          <w:rFonts w:asciiTheme="minorHAnsi" w:eastAsia="Calibri" w:hAnsiTheme="minorHAnsi" w:cstheme="minorHAnsi"/>
          <w:sz w:val="22"/>
          <w:szCs w:val="22"/>
        </w:rPr>
        <w:t xml:space="preserve">inferiore, con </w:t>
      </w:r>
      <w:r w:rsidR="001C12EE" w:rsidRPr="003D3270">
        <w:rPr>
          <w:rFonts w:asciiTheme="minorHAnsi" w:eastAsia="Calibri" w:hAnsiTheme="minorHAnsi" w:cstheme="minorHAnsi"/>
          <w:sz w:val="22"/>
          <w:szCs w:val="22"/>
        </w:rPr>
        <w:t>valori</w:t>
      </w:r>
      <w:r w:rsidR="007443E9" w:rsidRPr="003D3270">
        <w:rPr>
          <w:rFonts w:asciiTheme="minorHAnsi" w:eastAsia="Calibri" w:hAnsiTheme="minorHAnsi" w:cstheme="minorHAnsi"/>
          <w:sz w:val="22"/>
          <w:szCs w:val="22"/>
        </w:rPr>
        <w:t xml:space="preserve"> minimi delle abitazioni periferiche usate nell’ordine dei </w:t>
      </w:r>
      <w:r w:rsidR="0009799C" w:rsidRPr="003D3270">
        <w:rPr>
          <w:rFonts w:asciiTheme="minorHAnsi" w:eastAsia="Calibri" w:hAnsiTheme="minorHAnsi" w:cstheme="minorHAnsi"/>
          <w:sz w:val="22"/>
          <w:szCs w:val="22"/>
        </w:rPr>
        <w:t>400</w:t>
      </w:r>
      <w:r w:rsidR="00F63B06" w:rsidRPr="003D3270">
        <w:rPr>
          <w:rFonts w:asciiTheme="minorHAnsi" w:eastAsia="Calibri" w:hAnsiTheme="minorHAnsi" w:cstheme="minorHAnsi"/>
          <w:sz w:val="22"/>
          <w:szCs w:val="22"/>
        </w:rPr>
        <w:t xml:space="preserve"> €/mq</w:t>
      </w:r>
      <w:r w:rsidRPr="003D3270">
        <w:rPr>
          <w:rFonts w:asciiTheme="minorHAnsi" w:eastAsia="Calibri" w:hAnsiTheme="minorHAnsi" w:cstheme="minorHAnsi"/>
          <w:sz w:val="22"/>
          <w:szCs w:val="22"/>
        </w:rPr>
        <w:t>.</w:t>
      </w:r>
    </w:p>
    <w:p w:rsidR="00DB5FBA" w:rsidRPr="00421BD4" w:rsidRDefault="00DB5FBA" w:rsidP="00364602">
      <w:pPr>
        <w:rPr>
          <w:rFonts w:asciiTheme="minorHAnsi" w:eastAsia="Calibri" w:hAnsiTheme="minorHAnsi" w:cstheme="minorHAnsi"/>
          <w:sz w:val="22"/>
          <w:szCs w:val="22"/>
        </w:rPr>
      </w:pPr>
    </w:p>
    <w:p w:rsidR="00364602" w:rsidRPr="00421BD4" w:rsidRDefault="00077198" w:rsidP="00364602">
      <w:pPr>
        <w:rPr>
          <w:rFonts w:asciiTheme="minorHAnsi" w:eastAsia="Calibri" w:hAnsiTheme="minorHAnsi" w:cstheme="minorHAnsi"/>
          <w:sz w:val="22"/>
          <w:szCs w:val="22"/>
        </w:rPr>
      </w:pPr>
      <w:r w:rsidRPr="00421BD4">
        <w:rPr>
          <w:rFonts w:asciiTheme="minorHAnsi" w:eastAsia="Calibri" w:hAnsiTheme="minorHAnsi" w:cstheme="minorHAnsi"/>
          <w:sz w:val="22"/>
          <w:szCs w:val="22"/>
        </w:rPr>
        <w:t>Il mercato della locazione delle località turistiche è c</w:t>
      </w:r>
      <w:r w:rsidR="00F63B06" w:rsidRPr="00421BD4">
        <w:rPr>
          <w:rFonts w:asciiTheme="minorHAnsi" w:eastAsia="Calibri" w:hAnsiTheme="minorHAnsi" w:cstheme="minorHAnsi"/>
          <w:sz w:val="22"/>
          <w:szCs w:val="22"/>
        </w:rPr>
        <w:t>aratterizzato</w:t>
      </w:r>
      <w:r w:rsidRPr="00421BD4">
        <w:rPr>
          <w:rFonts w:asciiTheme="minorHAnsi" w:eastAsia="Calibri" w:hAnsiTheme="minorHAnsi" w:cstheme="minorHAnsi"/>
          <w:sz w:val="22"/>
          <w:szCs w:val="22"/>
        </w:rPr>
        <w:t xml:space="preserve"> da un canone medio settimanale ordinario (valore di massima frequenza)</w:t>
      </w:r>
      <w:r w:rsidR="00B341AE" w:rsidRPr="00421BD4">
        <w:rPr>
          <w:rFonts w:asciiTheme="minorHAnsi" w:eastAsia="Calibri" w:hAnsiTheme="minorHAnsi" w:cstheme="minorHAnsi"/>
          <w:sz w:val="22"/>
          <w:szCs w:val="22"/>
        </w:rPr>
        <w:t xml:space="preserve"> </w:t>
      </w:r>
      <w:r w:rsidR="00F63B06" w:rsidRPr="00421BD4">
        <w:rPr>
          <w:rFonts w:asciiTheme="minorHAnsi" w:eastAsia="Calibri" w:hAnsiTheme="minorHAnsi" w:cstheme="minorHAnsi"/>
          <w:sz w:val="22"/>
          <w:szCs w:val="22"/>
        </w:rPr>
        <w:t xml:space="preserve">di </w:t>
      </w:r>
      <w:r w:rsidR="00897A38" w:rsidRPr="00421BD4">
        <w:rPr>
          <w:rFonts w:asciiTheme="minorHAnsi" w:eastAsia="Calibri" w:hAnsiTheme="minorHAnsi" w:cstheme="minorHAnsi"/>
          <w:sz w:val="22"/>
          <w:szCs w:val="22"/>
        </w:rPr>
        <w:t>37</w:t>
      </w:r>
      <w:r w:rsidR="00421BD4" w:rsidRPr="00421BD4">
        <w:rPr>
          <w:rFonts w:asciiTheme="minorHAnsi" w:eastAsia="Calibri" w:hAnsiTheme="minorHAnsi" w:cstheme="minorHAnsi"/>
          <w:sz w:val="22"/>
          <w:szCs w:val="22"/>
        </w:rPr>
        <w:t>5</w:t>
      </w:r>
      <w:r w:rsidR="00F63B06" w:rsidRPr="00421BD4">
        <w:rPr>
          <w:rFonts w:asciiTheme="minorHAnsi" w:eastAsia="Calibri" w:hAnsiTheme="minorHAnsi" w:cstheme="minorHAnsi"/>
          <w:sz w:val="22"/>
          <w:szCs w:val="22"/>
        </w:rPr>
        <w:t xml:space="preserve"> € per il mese di giugno, </w:t>
      </w:r>
      <w:r w:rsidR="00897A38" w:rsidRPr="00421BD4">
        <w:rPr>
          <w:rFonts w:asciiTheme="minorHAnsi" w:eastAsia="Calibri" w:hAnsiTheme="minorHAnsi" w:cstheme="minorHAnsi"/>
          <w:sz w:val="22"/>
          <w:szCs w:val="22"/>
        </w:rPr>
        <w:t>5</w:t>
      </w:r>
      <w:r w:rsidR="00421BD4" w:rsidRPr="00421BD4">
        <w:rPr>
          <w:rFonts w:asciiTheme="minorHAnsi" w:eastAsia="Calibri" w:hAnsiTheme="minorHAnsi" w:cstheme="minorHAnsi"/>
          <w:sz w:val="22"/>
          <w:szCs w:val="22"/>
        </w:rPr>
        <w:t>3</w:t>
      </w:r>
      <w:r w:rsidR="00897A38" w:rsidRPr="00421BD4">
        <w:rPr>
          <w:rFonts w:asciiTheme="minorHAnsi" w:eastAsia="Calibri" w:hAnsiTheme="minorHAnsi" w:cstheme="minorHAnsi"/>
          <w:sz w:val="22"/>
          <w:szCs w:val="22"/>
        </w:rPr>
        <w:t>0</w:t>
      </w:r>
      <w:r w:rsidR="00F63B06" w:rsidRPr="00421BD4">
        <w:rPr>
          <w:rFonts w:asciiTheme="minorHAnsi" w:eastAsia="Calibri" w:hAnsiTheme="minorHAnsi" w:cstheme="minorHAnsi"/>
          <w:sz w:val="22"/>
          <w:szCs w:val="22"/>
        </w:rPr>
        <w:t xml:space="preserve"> € per luglio e </w:t>
      </w:r>
      <w:r w:rsidR="00897A38" w:rsidRPr="00421BD4">
        <w:rPr>
          <w:rFonts w:asciiTheme="minorHAnsi" w:eastAsia="Calibri" w:hAnsiTheme="minorHAnsi" w:cstheme="minorHAnsi"/>
          <w:sz w:val="22"/>
          <w:szCs w:val="22"/>
        </w:rPr>
        <w:t>6</w:t>
      </w:r>
      <w:r w:rsidR="00421BD4" w:rsidRPr="00421BD4">
        <w:rPr>
          <w:rFonts w:asciiTheme="minorHAnsi" w:eastAsia="Calibri" w:hAnsiTheme="minorHAnsi" w:cstheme="minorHAnsi"/>
          <w:sz w:val="22"/>
          <w:szCs w:val="22"/>
        </w:rPr>
        <w:t>75</w:t>
      </w:r>
      <w:r w:rsidR="00F63B06" w:rsidRPr="00421BD4">
        <w:rPr>
          <w:rFonts w:asciiTheme="minorHAnsi" w:eastAsia="Calibri" w:hAnsiTheme="minorHAnsi" w:cstheme="minorHAnsi"/>
          <w:sz w:val="22"/>
          <w:szCs w:val="22"/>
        </w:rPr>
        <w:t xml:space="preserve"> € per agosto, per un </w:t>
      </w:r>
      <w:r w:rsidRPr="00421BD4">
        <w:rPr>
          <w:rFonts w:asciiTheme="minorHAnsi" w:eastAsia="Calibri" w:hAnsiTheme="minorHAnsi" w:cstheme="minorHAnsi"/>
          <w:sz w:val="22"/>
          <w:szCs w:val="22"/>
        </w:rPr>
        <w:t>appartamento con camera matrimoniale, cameretta, cucina e bagno, 4 posti letto</w:t>
      </w:r>
      <w:r w:rsidR="00897A38" w:rsidRPr="00421BD4">
        <w:rPr>
          <w:rFonts w:asciiTheme="minorHAnsi" w:eastAsia="Calibri" w:hAnsiTheme="minorHAnsi" w:cstheme="minorHAnsi"/>
          <w:sz w:val="22"/>
          <w:szCs w:val="22"/>
        </w:rPr>
        <w:t xml:space="preserve"> (</w:t>
      </w:r>
      <w:r w:rsidR="00B341AE" w:rsidRPr="00421BD4">
        <w:rPr>
          <w:rFonts w:asciiTheme="minorHAnsi" w:eastAsia="Calibri" w:hAnsiTheme="minorHAnsi" w:cstheme="minorHAnsi"/>
          <w:sz w:val="22"/>
          <w:szCs w:val="22"/>
        </w:rPr>
        <w:t>spese incluse</w:t>
      </w:r>
      <w:r w:rsidR="00897A38" w:rsidRPr="00421BD4">
        <w:rPr>
          <w:rFonts w:asciiTheme="minorHAnsi" w:eastAsia="Calibri" w:hAnsiTheme="minorHAnsi" w:cstheme="minorHAnsi"/>
          <w:sz w:val="22"/>
          <w:szCs w:val="22"/>
        </w:rPr>
        <w:t>)</w:t>
      </w:r>
      <w:r w:rsidRPr="00421BD4">
        <w:rPr>
          <w:rFonts w:asciiTheme="minorHAnsi" w:eastAsia="Calibri" w:hAnsiTheme="minorHAnsi" w:cstheme="minorHAnsi"/>
          <w:sz w:val="22"/>
          <w:szCs w:val="22"/>
        </w:rPr>
        <w:t>.</w:t>
      </w:r>
    </w:p>
    <w:p w:rsidR="00CB4779" w:rsidRPr="00421BD4" w:rsidRDefault="00CB4779" w:rsidP="00364602">
      <w:pPr>
        <w:rPr>
          <w:rFonts w:asciiTheme="minorHAnsi" w:eastAsia="Calibri" w:hAnsiTheme="minorHAnsi" w:cstheme="minorHAnsi"/>
          <w:sz w:val="22"/>
          <w:szCs w:val="22"/>
        </w:rPr>
      </w:pPr>
    </w:p>
    <w:p w:rsidR="00F63B06" w:rsidRPr="00421BD4" w:rsidRDefault="00CC3C69" w:rsidP="00897A38">
      <w:pPr>
        <w:spacing w:after="120"/>
        <w:rPr>
          <w:rFonts w:asciiTheme="minorHAnsi" w:eastAsia="Calibri" w:hAnsiTheme="minorHAnsi" w:cstheme="minorHAnsi"/>
          <w:sz w:val="22"/>
          <w:szCs w:val="22"/>
        </w:rPr>
      </w:pPr>
      <w:r w:rsidRPr="00421BD4">
        <w:rPr>
          <w:rFonts w:asciiTheme="minorHAnsi" w:eastAsia="Calibri" w:hAnsiTheme="minorHAnsi" w:cstheme="minorHAnsi"/>
          <w:sz w:val="22"/>
          <w:szCs w:val="22"/>
        </w:rPr>
        <w:t>Anche in questo segmento del mercato s</w:t>
      </w:r>
      <w:r w:rsidR="00F63B06" w:rsidRPr="00421BD4">
        <w:rPr>
          <w:rFonts w:asciiTheme="minorHAnsi" w:eastAsia="Calibri" w:hAnsiTheme="minorHAnsi" w:cstheme="minorHAnsi"/>
          <w:sz w:val="22"/>
          <w:szCs w:val="22"/>
        </w:rPr>
        <w:t xml:space="preserve">i riscontrano </w:t>
      </w:r>
      <w:r w:rsidRPr="00421BD4">
        <w:rPr>
          <w:rFonts w:asciiTheme="minorHAnsi" w:eastAsia="Calibri" w:hAnsiTheme="minorHAnsi" w:cstheme="minorHAnsi"/>
          <w:sz w:val="22"/>
          <w:szCs w:val="22"/>
        </w:rPr>
        <w:t xml:space="preserve">differenze </w:t>
      </w:r>
      <w:r w:rsidR="00F63B06" w:rsidRPr="00421BD4">
        <w:rPr>
          <w:rFonts w:asciiTheme="minorHAnsi" w:eastAsia="Calibri" w:hAnsiTheme="minorHAnsi" w:cstheme="minorHAnsi"/>
          <w:sz w:val="22"/>
          <w:szCs w:val="22"/>
        </w:rPr>
        <w:t xml:space="preserve">tutt’altro che trascurabili tra le </w:t>
      </w:r>
      <w:r w:rsidRPr="00421BD4">
        <w:rPr>
          <w:rFonts w:asciiTheme="minorHAnsi" w:eastAsia="Calibri" w:hAnsiTheme="minorHAnsi" w:cstheme="minorHAnsi"/>
          <w:sz w:val="22"/>
          <w:szCs w:val="22"/>
        </w:rPr>
        <w:t>divers</w:t>
      </w:r>
      <w:r w:rsidR="00F63B06" w:rsidRPr="00421BD4">
        <w:rPr>
          <w:rFonts w:asciiTheme="minorHAnsi" w:eastAsia="Calibri" w:hAnsiTheme="minorHAnsi" w:cstheme="minorHAnsi"/>
          <w:sz w:val="22"/>
          <w:szCs w:val="22"/>
        </w:rPr>
        <w:t>e</w:t>
      </w:r>
      <w:r w:rsidRPr="00421BD4">
        <w:rPr>
          <w:rFonts w:asciiTheme="minorHAnsi" w:eastAsia="Calibri" w:hAnsiTheme="minorHAnsi" w:cstheme="minorHAnsi"/>
          <w:sz w:val="22"/>
          <w:szCs w:val="22"/>
        </w:rPr>
        <w:t xml:space="preserve"> tipologi</w:t>
      </w:r>
      <w:r w:rsidR="00F63B06" w:rsidRPr="00421BD4">
        <w:rPr>
          <w:rFonts w:asciiTheme="minorHAnsi" w:eastAsia="Calibri" w:hAnsiTheme="minorHAnsi" w:cstheme="minorHAnsi"/>
          <w:sz w:val="22"/>
          <w:szCs w:val="22"/>
        </w:rPr>
        <w:t>e</w:t>
      </w:r>
      <w:r w:rsidRPr="00421BD4">
        <w:rPr>
          <w:rFonts w:asciiTheme="minorHAnsi" w:eastAsia="Calibri" w:hAnsiTheme="minorHAnsi" w:cstheme="minorHAnsi"/>
          <w:sz w:val="22"/>
          <w:szCs w:val="22"/>
        </w:rPr>
        <w:t xml:space="preserve"> di località turistica: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5"/>
        <w:gridCol w:w="2445"/>
      </w:tblGrid>
      <w:tr w:rsidR="00421BD4" w:rsidRPr="00421BD4" w:rsidTr="002D78BD">
        <w:trPr>
          <w:trHeight w:val="340"/>
          <w:jc w:val="center"/>
        </w:trPr>
        <w:tc>
          <w:tcPr>
            <w:tcW w:w="2444" w:type="dxa"/>
            <w:vAlign w:val="center"/>
          </w:tcPr>
          <w:p w:rsidR="00CC3C69" w:rsidRPr="00421BD4" w:rsidRDefault="00B23B9D" w:rsidP="000D7640">
            <w:pPr>
              <w:jc w:val="left"/>
              <w:rPr>
                <w:rFonts w:asciiTheme="minorHAnsi" w:eastAsia="Calibri" w:hAnsiTheme="minorHAnsi" w:cstheme="minorHAnsi"/>
                <w:sz w:val="20"/>
              </w:rPr>
            </w:pPr>
            <w:r w:rsidRPr="000D7640">
              <w:rPr>
                <w:rFonts w:asciiTheme="minorHAnsi" w:eastAsia="Calibri" w:hAnsiTheme="minorHAnsi" w:cstheme="minorHAnsi"/>
                <w:caps w:val="0"/>
                <w:sz w:val="20"/>
                <w:highlight w:val="yellow"/>
              </w:rPr>
              <w:t xml:space="preserve">Tavola </w:t>
            </w:r>
            <w:r w:rsidR="000D7640" w:rsidRPr="000D7640">
              <w:rPr>
                <w:rFonts w:asciiTheme="minorHAnsi" w:eastAsia="Calibri" w:hAnsiTheme="minorHAnsi" w:cstheme="minorHAnsi"/>
                <w:caps w:val="0"/>
                <w:sz w:val="20"/>
                <w:highlight w:val="yellow"/>
              </w:rPr>
              <w:t>5</w:t>
            </w:r>
          </w:p>
        </w:tc>
        <w:tc>
          <w:tcPr>
            <w:tcW w:w="7334" w:type="dxa"/>
            <w:gridSpan w:val="3"/>
            <w:shd w:val="clear" w:color="auto" w:fill="D9D9D9" w:themeFill="background1" w:themeFillShade="D9"/>
            <w:vAlign w:val="center"/>
          </w:tcPr>
          <w:p w:rsidR="00CC3C69" w:rsidRPr="00421BD4" w:rsidRDefault="00CC3C69" w:rsidP="003D3270">
            <w:pPr>
              <w:jc w:val="center"/>
              <w:rPr>
                <w:rFonts w:asciiTheme="minorHAnsi" w:eastAsia="Calibri" w:hAnsiTheme="minorHAnsi" w:cstheme="minorHAnsi"/>
                <w:caps w:val="0"/>
                <w:sz w:val="20"/>
              </w:rPr>
            </w:pPr>
            <w:r w:rsidRPr="00421BD4">
              <w:rPr>
                <w:rFonts w:asciiTheme="minorHAnsi" w:eastAsia="Calibri" w:hAnsiTheme="minorHAnsi" w:cstheme="minorHAnsi"/>
                <w:caps w:val="0"/>
                <w:sz w:val="20"/>
              </w:rPr>
              <w:t>Canone medio</w:t>
            </w:r>
            <w:r w:rsidR="00856627" w:rsidRPr="00421BD4">
              <w:rPr>
                <w:rFonts w:asciiTheme="minorHAnsi" w:eastAsia="Calibri" w:hAnsiTheme="minorHAnsi" w:cstheme="minorHAnsi"/>
                <w:caps w:val="0"/>
                <w:sz w:val="20"/>
              </w:rPr>
              <w:t xml:space="preserve"> </w:t>
            </w:r>
            <w:r w:rsidR="003D3270" w:rsidRPr="00421BD4">
              <w:rPr>
                <w:rFonts w:asciiTheme="minorHAnsi" w:eastAsia="Calibri" w:hAnsiTheme="minorHAnsi" w:cstheme="minorHAnsi"/>
                <w:caps w:val="0"/>
                <w:sz w:val="20"/>
              </w:rPr>
              <w:t>settimanale</w:t>
            </w:r>
          </w:p>
        </w:tc>
      </w:tr>
      <w:tr w:rsidR="00421BD4" w:rsidRPr="00421BD4" w:rsidTr="002D78BD">
        <w:trPr>
          <w:trHeight w:val="340"/>
          <w:jc w:val="center"/>
        </w:trPr>
        <w:tc>
          <w:tcPr>
            <w:tcW w:w="2444" w:type="dxa"/>
            <w:vAlign w:val="center"/>
          </w:tcPr>
          <w:p w:rsidR="00CC3C69" w:rsidRPr="00421BD4" w:rsidRDefault="00CC3C69" w:rsidP="002D78BD">
            <w:pPr>
              <w:jc w:val="left"/>
              <w:rPr>
                <w:rFonts w:asciiTheme="minorHAnsi" w:eastAsia="Calibri" w:hAnsiTheme="minorHAnsi" w:cstheme="minorHAnsi"/>
                <w:sz w:val="20"/>
              </w:rPr>
            </w:pPr>
          </w:p>
        </w:tc>
        <w:tc>
          <w:tcPr>
            <w:tcW w:w="2444" w:type="dxa"/>
            <w:shd w:val="clear" w:color="auto" w:fill="F2F2F2" w:themeFill="background1" w:themeFillShade="F2"/>
            <w:vAlign w:val="center"/>
          </w:tcPr>
          <w:p w:rsidR="00CC3C69" w:rsidRPr="00421BD4" w:rsidRDefault="00CC3C69" w:rsidP="002D78BD">
            <w:pPr>
              <w:jc w:val="center"/>
              <w:rPr>
                <w:rFonts w:asciiTheme="minorHAnsi" w:eastAsia="Calibri" w:hAnsiTheme="minorHAnsi" w:cstheme="minorHAnsi"/>
                <w:sz w:val="20"/>
              </w:rPr>
            </w:pPr>
            <w:r w:rsidRPr="00421BD4">
              <w:rPr>
                <w:rFonts w:asciiTheme="minorHAnsi" w:eastAsia="Calibri" w:hAnsiTheme="minorHAnsi" w:cstheme="minorHAnsi"/>
                <w:caps w:val="0"/>
                <w:sz w:val="20"/>
              </w:rPr>
              <w:t>Mese di giugno</w:t>
            </w:r>
          </w:p>
        </w:tc>
        <w:tc>
          <w:tcPr>
            <w:tcW w:w="2445" w:type="dxa"/>
            <w:shd w:val="clear" w:color="auto" w:fill="F2F2F2" w:themeFill="background1" w:themeFillShade="F2"/>
            <w:vAlign w:val="center"/>
          </w:tcPr>
          <w:p w:rsidR="00CC3C69" w:rsidRPr="00421BD4" w:rsidRDefault="00CC3C69" w:rsidP="002D78BD">
            <w:pPr>
              <w:jc w:val="center"/>
              <w:rPr>
                <w:rFonts w:asciiTheme="minorHAnsi" w:eastAsia="Calibri" w:hAnsiTheme="minorHAnsi" w:cstheme="minorHAnsi"/>
                <w:sz w:val="20"/>
              </w:rPr>
            </w:pPr>
            <w:r w:rsidRPr="00421BD4">
              <w:rPr>
                <w:rFonts w:asciiTheme="minorHAnsi" w:eastAsia="Calibri" w:hAnsiTheme="minorHAnsi" w:cstheme="minorHAnsi"/>
                <w:caps w:val="0"/>
                <w:sz w:val="20"/>
              </w:rPr>
              <w:t>Mese di luglio</w:t>
            </w:r>
          </w:p>
        </w:tc>
        <w:tc>
          <w:tcPr>
            <w:tcW w:w="2445" w:type="dxa"/>
            <w:shd w:val="clear" w:color="auto" w:fill="F2F2F2" w:themeFill="background1" w:themeFillShade="F2"/>
            <w:vAlign w:val="center"/>
          </w:tcPr>
          <w:p w:rsidR="00CC3C69" w:rsidRPr="00421BD4" w:rsidRDefault="00CC3C69" w:rsidP="002D78BD">
            <w:pPr>
              <w:jc w:val="center"/>
              <w:rPr>
                <w:rFonts w:asciiTheme="minorHAnsi" w:eastAsia="Calibri" w:hAnsiTheme="minorHAnsi" w:cstheme="minorHAnsi"/>
                <w:sz w:val="20"/>
              </w:rPr>
            </w:pPr>
            <w:r w:rsidRPr="00421BD4">
              <w:rPr>
                <w:rFonts w:asciiTheme="minorHAnsi" w:eastAsia="Calibri" w:hAnsiTheme="minorHAnsi" w:cstheme="minorHAnsi"/>
                <w:caps w:val="0"/>
                <w:sz w:val="20"/>
              </w:rPr>
              <w:t>Mese di agosto</w:t>
            </w:r>
          </w:p>
        </w:tc>
      </w:tr>
      <w:tr w:rsidR="00421BD4" w:rsidRPr="00421BD4" w:rsidTr="002D78BD">
        <w:trPr>
          <w:trHeight w:val="340"/>
          <w:jc w:val="center"/>
        </w:trPr>
        <w:tc>
          <w:tcPr>
            <w:tcW w:w="2444" w:type="dxa"/>
            <w:shd w:val="clear" w:color="auto" w:fill="DBE5F1" w:themeFill="accent1" w:themeFillTint="33"/>
            <w:vAlign w:val="center"/>
          </w:tcPr>
          <w:p w:rsidR="00CC3C69" w:rsidRPr="00421BD4" w:rsidRDefault="00F63B06" w:rsidP="002D78BD">
            <w:pPr>
              <w:jc w:val="left"/>
              <w:rPr>
                <w:rFonts w:asciiTheme="minorHAnsi" w:eastAsia="Calibri" w:hAnsiTheme="minorHAnsi" w:cstheme="minorHAnsi"/>
                <w:sz w:val="20"/>
              </w:rPr>
            </w:pPr>
            <w:r w:rsidRPr="00421BD4">
              <w:rPr>
                <w:rFonts w:asciiTheme="minorHAnsi" w:eastAsia="Calibri" w:hAnsiTheme="minorHAnsi" w:cstheme="minorHAnsi"/>
                <w:caps w:val="0"/>
                <w:sz w:val="20"/>
              </w:rPr>
              <w:t>Località marine</w:t>
            </w:r>
          </w:p>
        </w:tc>
        <w:tc>
          <w:tcPr>
            <w:tcW w:w="2444" w:type="dxa"/>
            <w:shd w:val="clear" w:color="auto" w:fill="DBE5F1" w:themeFill="accent1" w:themeFillTint="33"/>
            <w:vAlign w:val="center"/>
          </w:tcPr>
          <w:p w:rsidR="00CC3C69" w:rsidRPr="00421BD4" w:rsidRDefault="00707A17" w:rsidP="006E4643">
            <w:pPr>
              <w:jc w:val="center"/>
              <w:rPr>
                <w:rFonts w:asciiTheme="minorHAnsi" w:eastAsia="Calibri" w:hAnsiTheme="minorHAnsi" w:cstheme="minorHAnsi"/>
                <w:b w:val="0"/>
                <w:sz w:val="20"/>
              </w:rPr>
            </w:pPr>
            <w:r w:rsidRPr="00421BD4">
              <w:rPr>
                <w:rFonts w:asciiTheme="minorHAnsi" w:eastAsia="Calibri" w:hAnsiTheme="minorHAnsi" w:cstheme="minorHAnsi"/>
                <w:b w:val="0"/>
                <w:caps w:val="0"/>
                <w:sz w:val="20"/>
              </w:rPr>
              <w:t>3</w:t>
            </w:r>
            <w:r w:rsidR="00900FA7">
              <w:rPr>
                <w:rFonts w:asciiTheme="minorHAnsi" w:eastAsia="Calibri" w:hAnsiTheme="minorHAnsi" w:cstheme="minorHAnsi"/>
                <w:b w:val="0"/>
                <w:caps w:val="0"/>
                <w:sz w:val="20"/>
              </w:rPr>
              <w:t>5</w:t>
            </w:r>
            <w:r w:rsidR="006E4643">
              <w:rPr>
                <w:rFonts w:asciiTheme="minorHAnsi" w:eastAsia="Calibri" w:hAnsiTheme="minorHAnsi" w:cstheme="minorHAnsi"/>
                <w:b w:val="0"/>
                <w:caps w:val="0"/>
                <w:sz w:val="20"/>
              </w:rPr>
              <w:t>5</w:t>
            </w:r>
            <w:r w:rsidR="00CC3C69" w:rsidRPr="00421BD4">
              <w:rPr>
                <w:rFonts w:asciiTheme="minorHAnsi" w:eastAsia="Calibri" w:hAnsiTheme="minorHAnsi" w:cstheme="minorHAnsi"/>
                <w:b w:val="0"/>
                <w:caps w:val="0"/>
                <w:sz w:val="20"/>
              </w:rPr>
              <w:t xml:space="preserve"> €</w:t>
            </w:r>
          </w:p>
        </w:tc>
        <w:tc>
          <w:tcPr>
            <w:tcW w:w="2445" w:type="dxa"/>
            <w:shd w:val="clear" w:color="auto" w:fill="DBE5F1" w:themeFill="accent1" w:themeFillTint="33"/>
            <w:vAlign w:val="center"/>
          </w:tcPr>
          <w:p w:rsidR="00CC3C69" w:rsidRPr="00421BD4" w:rsidRDefault="00900FA7" w:rsidP="002D78BD">
            <w:pPr>
              <w:jc w:val="center"/>
              <w:rPr>
                <w:rFonts w:asciiTheme="minorHAnsi" w:eastAsia="Calibri" w:hAnsiTheme="minorHAnsi" w:cstheme="minorHAnsi"/>
                <w:b w:val="0"/>
                <w:sz w:val="20"/>
              </w:rPr>
            </w:pPr>
            <w:r>
              <w:rPr>
                <w:rFonts w:asciiTheme="minorHAnsi" w:eastAsia="Calibri" w:hAnsiTheme="minorHAnsi" w:cstheme="minorHAnsi"/>
                <w:b w:val="0"/>
                <w:caps w:val="0"/>
                <w:sz w:val="20"/>
              </w:rPr>
              <w:t>505</w:t>
            </w:r>
            <w:r w:rsidR="00CC3C69" w:rsidRPr="00421BD4">
              <w:rPr>
                <w:rFonts w:asciiTheme="minorHAnsi" w:eastAsia="Calibri" w:hAnsiTheme="minorHAnsi" w:cstheme="minorHAnsi"/>
                <w:b w:val="0"/>
                <w:caps w:val="0"/>
                <w:sz w:val="20"/>
              </w:rPr>
              <w:t xml:space="preserve"> €</w:t>
            </w:r>
          </w:p>
        </w:tc>
        <w:tc>
          <w:tcPr>
            <w:tcW w:w="2445" w:type="dxa"/>
            <w:shd w:val="clear" w:color="auto" w:fill="DBE5F1" w:themeFill="accent1" w:themeFillTint="33"/>
            <w:vAlign w:val="center"/>
          </w:tcPr>
          <w:p w:rsidR="00CC3C69" w:rsidRPr="00421BD4" w:rsidRDefault="00900FA7" w:rsidP="002D78BD">
            <w:pPr>
              <w:jc w:val="center"/>
              <w:rPr>
                <w:rFonts w:asciiTheme="minorHAnsi" w:eastAsia="Calibri" w:hAnsiTheme="minorHAnsi" w:cstheme="minorHAnsi"/>
                <w:b w:val="0"/>
                <w:sz w:val="20"/>
              </w:rPr>
            </w:pPr>
            <w:r>
              <w:rPr>
                <w:rFonts w:asciiTheme="minorHAnsi" w:eastAsia="Calibri" w:hAnsiTheme="minorHAnsi" w:cstheme="minorHAnsi"/>
                <w:b w:val="0"/>
                <w:caps w:val="0"/>
                <w:sz w:val="20"/>
              </w:rPr>
              <w:t>650</w:t>
            </w:r>
            <w:r w:rsidR="00CC3C69" w:rsidRPr="00421BD4">
              <w:rPr>
                <w:rFonts w:asciiTheme="minorHAnsi" w:eastAsia="Calibri" w:hAnsiTheme="minorHAnsi" w:cstheme="minorHAnsi"/>
                <w:b w:val="0"/>
                <w:caps w:val="0"/>
                <w:sz w:val="20"/>
              </w:rPr>
              <w:t xml:space="preserve"> €</w:t>
            </w:r>
          </w:p>
        </w:tc>
      </w:tr>
      <w:tr w:rsidR="00421BD4" w:rsidRPr="00421BD4" w:rsidTr="002D78BD">
        <w:trPr>
          <w:trHeight w:val="340"/>
          <w:jc w:val="center"/>
        </w:trPr>
        <w:tc>
          <w:tcPr>
            <w:tcW w:w="2444" w:type="dxa"/>
            <w:shd w:val="clear" w:color="auto" w:fill="DBE5F1" w:themeFill="accent1" w:themeFillTint="33"/>
            <w:vAlign w:val="center"/>
          </w:tcPr>
          <w:p w:rsidR="00CC3C69" w:rsidRPr="00421BD4" w:rsidRDefault="00F63B06" w:rsidP="002D78BD">
            <w:pPr>
              <w:jc w:val="left"/>
              <w:rPr>
                <w:rFonts w:asciiTheme="minorHAnsi" w:eastAsia="Calibri" w:hAnsiTheme="minorHAnsi" w:cstheme="minorHAnsi"/>
                <w:sz w:val="20"/>
              </w:rPr>
            </w:pPr>
            <w:r w:rsidRPr="00421BD4">
              <w:rPr>
                <w:rFonts w:asciiTheme="minorHAnsi" w:eastAsia="Calibri" w:hAnsiTheme="minorHAnsi" w:cstheme="minorHAnsi"/>
                <w:caps w:val="0"/>
                <w:sz w:val="20"/>
              </w:rPr>
              <w:t>Località montane</w:t>
            </w:r>
          </w:p>
        </w:tc>
        <w:tc>
          <w:tcPr>
            <w:tcW w:w="2444" w:type="dxa"/>
            <w:shd w:val="clear" w:color="auto" w:fill="DBE5F1" w:themeFill="accent1" w:themeFillTint="33"/>
            <w:vAlign w:val="center"/>
          </w:tcPr>
          <w:p w:rsidR="00CC3C69" w:rsidRPr="00421BD4" w:rsidRDefault="00900FA7" w:rsidP="006E4643">
            <w:pPr>
              <w:jc w:val="center"/>
              <w:rPr>
                <w:rFonts w:asciiTheme="minorHAnsi" w:eastAsia="Calibri" w:hAnsiTheme="minorHAnsi" w:cstheme="minorHAnsi"/>
                <w:b w:val="0"/>
                <w:sz w:val="20"/>
              </w:rPr>
            </w:pPr>
            <w:r>
              <w:rPr>
                <w:rFonts w:asciiTheme="minorHAnsi" w:eastAsia="Calibri" w:hAnsiTheme="minorHAnsi" w:cstheme="minorHAnsi"/>
                <w:b w:val="0"/>
                <w:caps w:val="0"/>
                <w:sz w:val="20"/>
              </w:rPr>
              <w:t>37</w:t>
            </w:r>
            <w:r w:rsidR="006E4643">
              <w:rPr>
                <w:rFonts w:asciiTheme="minorHAnsi" w:eastAsia="Calibri" w:hAnsiTheme="minorHAnsi" w:cstheme="minorHAnsi"/>
                <w:b w:val="0"/>
                <w:caps w:val="0"/>
                <w:sz w:val="20"/>
              </w:rPr>
              <w:t>0</w:t>
            </w:r>
            <w:r w:rsidR="00CC3C69" w:rsidRPr="00421BD4">
              <w:rPr>
                <w:rFonts w:asciiTheme="minorHAnsi" w:eastAsia="Calibri" w:hAnsiTheme="minorHAnsi" w:cstheme="minorHAnsi"/>
                <w:b w:val="0"/>
                <w:caps w:val="0"/>
                <w:sz w:val="20"/>
              </w:rPr>
              <w:t xml:space="preserve"> €</w:t>
            </w:r>
          </w:p>
        </w:tc>
        <w:tc>
          <w:tcPr>
            <w:tcW w:w="2445" w:type="dxa"/>
            <w:shd w:val="clear" w:color="auto" w:fill="DBE5F1" w:themeFill="accent1" w:themeFillTint="33"/>
            <w:vAlign w:val="center"/>
          </w:tcPr>
          <w:p w:rsidR="00CC3C69" w:rsidRPr="00421BD4" w:rsidRDefault="00900FA7" w:rsidP="006E4643">
            <w:pPr>
              <w:jc w:val="center"/>
              <w:rPr>
                <w:rFonts w:asciiTheme="minorHAnsi" w:eastAsia="Calibri" w:hAnsiTheme="minorHAnsi" w:cstheme="minorHAnsi"/>
                <w:b w:val="0"/>
                <w:sz w:val="20"/>
              </w:rPr>
            </w:pPr>
            <w:r>
              <w:rPr>
                <w:rFonts w:asciiTheme="minorHAnsi" w:eastAsia="Calibri" w:hAnsiTheme="minorHAnsi" w:cstheme="minorHAnsi"/>
                <w:b w:val="0"/>
                <w:caps w:val="0"/>
                <w:sz w:val="20"/>
              </w:rPr>
              <w:t>5</w:t>
            </w:r>
            <w:r w:rsidR="006E4643">
              <w:rPr>
                <w:rFonts w:asciiTheme="minorHAnsi" w:eastAsia="Calibri" w:hAnsiTheme="minorHAnsi" w:cstheme="minorHAnsi"/>
                <w:b w:val="0"/>
                <w:caps w:val="0"/>
                <w:sz w:val="20"/>
              </w:rPr>
              <w:t>35</w:t>
            </w:r>
            <w:r w:rsidR="00CC3C69" w:rsidRPr="00421BD4">
              <w:rPr>
                <w:rFonts w:asciiTheme="minorHAnsi" w:eastAsia="Calibri" w:hAnsiTheme="minorHAnsi" w:cstheme="minorHAnsi"/>
                <w:b w:val="0"/>
                <w:caps w:val="0"/>
                <w:sz w:val="20"/>
              </w:rPr>
              <w:t xml:space="preserve"> €</w:t>
            </w:r>
          </w:p>
        </w:tc>
        <w:tc>
          <w:tcPr>
            <w:tcW w:w="2445" w:type="dxa"/>
            <w:shd w:val="clear" w:color="auto" w:fill="DBE5F1" w:themeFill="accent1" w:themeFillTint="33"/>
            <w:vAlign w:val="center"/>
          </w:tcPr>
          <w:p w:rsidR="00CC3C69" w:rsidRPr="00421BD4" w:rsidRDefault="006E4643" w:rsidP="006E4643">
            <w:pPr>
              <w:jc w:val="center"/>
              <w:rPr>
                <w:rFonts w:asciiTheme="minorHAnsi" w:eastAsia="Calibri" w:hAnsiTheme="minorHAnsi" w:cstheme="minorHAnsi"/>
                <w:b w:val="0"/>
                <w:sz w:val="20"/>
              </w:rPr>
            </w:pPr>
            <w:r>
              <w:rPr>
                <w:rFonts w:asciiTheme="minorHAnsi" w:eastAsia="Calibri" w:hAnsiTheme="minorHAnsi" w:cstheme="minorHAnsi"/>
                <w:b w:val="0"/>
                <w:caps w:val="0"/>
                <w:sz w:val="20"/>
              </w:rPr>
              <w:t>685</w:t>
            </w:r>
            <w:r w:rsidR="00CC3C69" w:rsidRPr="00421BD4">
              <w:rPr>
                <w:rFonts w:asciiTheme="minorHAnsi" w:eastAsia="Calibri" w:hAnsiTheme="minorHAnsi" w:cstheme="minorHAnsi"/>
                <w:b w:val="0"/>
                <w:caps w:val="0"/>
                <w:sz w:val="20"/>
              </w:rPr>
              <w:t xml:space="preserve"> €</w:t>
            </w:r>
          </w:p>
        </w:tc>
      </w:tr>
      <w:tr w:rsidR="00421BD4" w:rsidRPr="00421BD4" w:rsidTr="002D78BD">
        <w:trPr>
          <w:trHeight w:val="340"/>
          <w:jc w:val="center"/>
        </w:trPr>
        <w:tc>
          <w:tcPr>
            <w:tcW w:w="2444" w:type="dxa"/>
            <w:shd w:val="clear" w:color="auto" w:fill="DBE5F1" w:themeFill="accent1" w:themeFillTint="33"/>
            <w:vAlign w:val="center"/>
          </w:tcPr>
          <w:p w:rsidR="00421BD4" w:rsidRPr="00421BD4" w:rsidRDefault="00421BD4" w:rsidP="002D78BD">
            <w:pPr>
              <w:jc w:val="left"/>
              <w:rPr>
                <w:rFonts w:asciiTheme="minorHAnsi" w:eastAsia="Calibri" w:hAnsiTheme="minorHAnsi" w:cstheme="minorHAnsi"/>
                <w:sz w:val="20"/>
              </w:rPr>
            </w:pPr>
            <w:r w:rsidRPr="003D3270">
              <w:rPr>
                <w:rFonts w:asciiTheme="minorHAnsi" w:eastAsia="Calibri" w:hAnsiTheme="minorHAnsi" w:cstheme="minorHAnsi"/>
                <w:caps w:val="0"/>
                <w:sz w:val="20"/>
              </w:rPr>
              <w:t>Località lacuali</w:t>
            </w:r>
          </w:p>
        </w:tc>
        <w:tc>
          <w:tcPr>
            <w:tcW w:w="2444" w:type="dxa"/>
            <w:shd w:val="clear" w:color="auto" w:fill="DBE5F1" w:themeFill="accent1" w:themeFillTint="33"/>
            <w:vAlign w:val="center"/>
          </w:tcPr>
          <w:p w:rsidR="00421BD4" w:rsidRPr="00421BD4" w:rsidRDefault="00900FA7" w:rsidP="002D78BD">
            <w:pPr>
              <w:jc w:val="center"/>
              <w:rPr>
                <w:rFonts w:asciiTheme="minorHAnsi" w:eastAsia="Calibri" w:hAnsiTheme="minorHAnsi" w:cstheme="minorHAnsi"/>
                <w:sz w:val="20"/>
              </w:rPr>
            </w:pPr>
            <w:r>
              <w:rPr>
                <w:rFonts w:asciiTheme="minorHAnsi" w:eastAsia="Calibri" w:hAnsiTheme="minorHAnsi" w:cstheme="minorHAnsi"/>
                <w:b w:val="0"/>
                <w:caps w:val="0"/>
                <w:sz w:val="20"/>
              </w:rPr>
              <w:t>595</w:t>
            </w:r>
            <w:r w:rsidR="002979BE" w:rsidRPr="00421BD4">
              <w:rPr>
                <w:rFonts w:asciiTheme="minorHAnsi" w:eastAsia="Calibri" w:hAnsiTheme="minorHAnsi" w:cstheme="minorHAnsi"/>
                <w:b w:val="0"/>
                <w:caps w:val="0"/>
                <w:sz w:val="20"/>
              </w:rPr>
              <w:t xml:space="preserve"> €</w:t>
            </w:r>
          </w:p>
        </w:tc>
        <w:tc>
          <w:tcPr>
            <w:tcW w:w="2445" w:type="dxa"/>
            <w:shd w:val="clear" w:color="auto" w:fill="DBE5F1" w:themeFill="accent1" w:themeFillTint="33"/>
            <w:vAlign w:val="center"/>
          </w:tcPr>
          <w:p w:rsidR="00421BD4" w:rsidRPr="00421BD4" w:rsidRDefault="00900FA7" w:rsidP="002D78BD">
            <w:pPr>
              <w:jc w:val="center"/>
              <w:rPr>
                <w:rFonts w:asciiTheme="minorHAnsi" w:eastAsia="Calibri" w:hAnsiTheme="minorHAnsi" w:cstheme="minorHAnsi"/>
                <w:sz w:val="20"/>
              </w:rPr>
            </w:pPr>
            <w:r>
              <w:rPr>
                <w:rFonts w:asciiTheme="minorHAnsi" w:eastAsia="Calibri" w:hAnsiTheme="minorHAnsi" w:cstheme="minorHAnsi"/>
                <w:b w:val="0"/>
                <w:caps w:val="0"/>
                <w:sz w:val="20"/>
              </w:rPr>
              <w:t>750</w:t>
            </w:r>
            <w:r w:rsidR="002979BE" w:rsidRPr="00421BD4">
              <w:rPr>
                <w:rFonts w:asciiTheme="minorHAnsi" w:eastAsia="Calibri" w:hAnsiTheme="minorHAnsi" w:cstheme="minorHAnsi"/>
                <w:b w:val="0"/>
                <w:caps w:val="0"/>
                <w:sz w:val="20"/>
              </w:rPr>
              <w:t xml:space="preserve"> €</w:t>
            </w:r>
          </w:p>
        </w:tc>
        <w:tc>
          <w:tcPr>
            <w:tcW w:w="2445" w:type="dxa"/>
            <w:shd w:val="clear" w:color="auto" w:fill="DBE5F1" w:themeFill="accent1" w:themeFillTint="33"/>
            <w:vAlign w:val="center"/>
          </w:tcPr>
          <w:p w:rsidR="00421BD4" w:rsidRPr="00421BD4" w:rsidRDefault="00900FA7" w:rsidP="00707A17">
            <w:pPr>
              <w:jc w:val="center"/>
              <w:rPr>
                <w:rFonts w:asciiTheme="minorHAnsi" w:eastAsia="Calibri" w:hAnsiTheme="minorHAnsi" w:cstheme="minorHAnsi"/>
                <w:sz w:val="20"/>
              </w:rPr>
            </w:pPr>
            <w:r>
              <w:rPr>
                <w:rFonts w:asciiTheme="minorHAnsi" w:eastAsia="Calibri" w:hAnsiTheme="minorHAnsi" w:cstheme="minorHAnsi"/>
                <w:b w:val="0"/>
                <w:caps w:val="0"/>
                <w:sz w:val="20"/>
              </w:rPr>
              <w:t>895</w:t>
            </w:r>
            <w:r w:rsidR="002979BE" w:rsidRPr="00421BD4">
              <w:rPr>
                <w:rFonts w:asciiTheme="minorHAnsi" w:eastAsia="Calibri" w:hAnsiTheme="minorHAnsi" w:cstheme="minorHAnsi"/>
                <w:b w:val="0"/>
                <w:caps w:val="0"/>
                <w:sz w:val="20"/>
              </w:rPr>
              <w:t xml:space="preserve"> €</w:t>
            </w:r>
          </w:p>
        </w:tc>
      </w:tr>
    </w:tbl>
    <w:p w:rsidR="008D7331" w:rsidRPr="00421BD4" w:rsidRDefault="008D7331" w:rsidP="008D7331">
      <w:pPr>
        <w:spacing w:before="60"/>
        <w:rPr>
          <w:rFonts w:asciiTheme="minorHAnsi" w:eastAsia="Calibri" w:hAnsiTheme="minorHAnsi" w:cstheme="minorHAnsi"/>
          <w:sz w:val="18"/>
        </w:rPr>
      </w:pPr>
      <w:r w:rsidRPr="00421BD4">
        <w:rPr>
          <w:rFonts w:asciiTheme="minorHAnsi" w:eastAsia="Calibri" w:hAnsiTheme="minorHAnsi" w:cstheme="minorHAnsi"/>
          <w:sz w:val="18"/>
        </w:rPr>
        <w:t>Fonte: Nomisma e Fimaa</w:t>
      </w:r>
      <w:r w:rsidR="00AC5889" w:rsidRPr="00421BD4">
        <w:rPr>
          <w:rFonts w:asciiTheme="minorHAnsi" w:eastAsia="Calibri" w:hAnsiTheme="minorHAnsi" w:cstheme="minorHAnsi"/>
          <w:sz w:val="18"/>
        </w:rPr>
        <w:t>-Confcommercio</w:t>
      </w:r>
    </w:p>
    <w:p w:rsidR="00CC3C69" w:rsidRPr="00421BD4" w:rsidRDefault="00CC3C69" w:rsidP="00364602">
      <w:pPr>
        <w:rPr>
          <w:rFonts w:asciiTheme="minorHAnsi" w:eastAsia="Calibri" w:hAnsiTheme="minorHAnsi" w:cstheme="minorHAnsi"/>
          <w:sz w:val="22"/>
          <w:szCs w:val="24"/>
        </w:rPr>
      </w:pPr>
    </w:p>
    <w:p w:rsidR="00592D6A" w:rsidRPr="00091790" w:rsidRDefault="00592D6A" w:rsidP="00592D6A">
      <w:pPr>
        <w:rPr>
          <w:rFonts w:asciiTheme="minorHAnsi" w:eastAsia="Calibri" w:hAnsiTheme="minorHAnsi" w:cstheme="minorHAnsi"/>
          <w:sz w:val="22"/>
          <w:szCs w:val="22"/>
        </w:rPr>
      </w:pPr>
      <w:r w:rsidRPr="00091790">
        <w:rPr>
          <w:rFonts w:asciiTheme="minorHAnsi" w:eastAsia="Calibri" w:hAnsiTheme="minorHAnsi" w:cstheme="minorHAnsi"/>
          <w:sz w:val="22"/>
          <w:szCs w:val="22"/>
        </w:rPr>
        <w:t>Un’ultima annotazione riguarda, infine, le motivazioni all’acquisto: il mercato residenziale nelle località turistiche è movimentato principalmente dagli acquisti per utilizzo diretto (62%), mentre il restante mercato è alimentato da finalità di investimento (16%) o da un misto delle due tipologie (22%).</w:t>
      </w:r>
    </w:p>
    <w:p w:rsidR="00575691" w:rsidRDefault="00575691">
      <w:pPr>
        <w:spacing w:after="200" w:line="276" w:lineRule="auto"/>
        <w:jc w:val="left"/>
        <w:rPr>
          <w:rFonts w:asciiTheme="minorHAnsi" w:eastAsia="Calibri" w:hAnsiTheme="minorHAnsi" w:cstheme="minorHAnsi"/>
          <w:sz w:val="22"/>
          <w:szCs w:val="22"/>
        </w:rPr>
      </w:pPr>
      <w:r>
        <w:rPr>
          <w:rFonts w:asciiTheme="minorHAnsi" w:eastAsia="Calibri" w:hAnsiTheme="minorHAnsi" w:cstheme="minorHAnsi"/>
          <w:sz w:val="22"/>
          <w:szCs w:val="22"/>
        </w:rPr>
        <w:br w:type="page"/>
      </w:r>
    </w:p>
    <w:p w:rsidR="00F335F2" w:rsidRDefault="00F335F2" w:rsidP="00F335F2">
      <w:pPr>
        <w:jc w:val="left"/>
        <w:rPr>
          <w:rFonts w:asciiTheme="minorHAnsi" w:eastAsia="Calibri" w:hAnsiTheme="minorHAnsi" w:cstheme="minorHAnsi"/>
          <w:color w:val="1F497D" w:themeColor="text2"/>
          <w:sz w:val="32"/>
          <w:szCs w:val="32"/>
        </w:rPr>
      </w:pPr>
    </w:p>
    <w:p w:rsidR="002D78BD" w:rsidRDefault="00575691" w:rsidP="00575691">
      <w:pPr>
        <w:shd w:val="clear" w:color="auto" w:fill="D9D9D9" w:themeFill="background1" w:themeFillShade="D9"/>
        <w:jc w:val="left"/>
        <w:rPr>
          <w:rFonts w:asciiTheme="minorHAnsi" w:eastAsia="Calibri" w:hAnsiTheme="minorHAnsi" w:cstheme="minorHAnsi"/>
          <w:color w:val="1F497D" w:themeColor="text2"/>
          <w:sz w:val="32"/>
          <w:szCs w:val="32"/>
        </w:rPr>
      </w:pPr>
      <w:r w:rsidRPr="00575691">
        <w:rPr>
          <w:rFonts w:asciiTheme="minorHAnsi" w:eastAsia="Calibri" w:hAnsiTheme="minorHAnsi" w:cstheme="minorHAnsi"/>
          <w:color w:val="1F497D" w:themeColor="text2"/>
          <w:sz w:val="32"/>
          <w:szCs w:val="32"/>
        </w:rPr>
        <w:t>APPENDICE STATISTICA</w:t>
      </w:r>
    </w:p>
    <w:p w:rsidR="00575691" w:rsidRPr="00575691" w:rsidRDefault="00575691" w:rsidP="00575691">
      <w:pPr>
        <w:jc w:val="left"/>
        <w:rPr>
          <w:rFonts w:asciiTheme="minorHAnsi" w:eastAsia="Calibri" w:hAnsiTheme="minorHAnsi" w:cstheme="minorHAnsi"/>
          <w:color w:val="1F497D" w:themeColor="text2"/>
          <w:sz w:val="22"/>
          <w:szCs w:val="22"/>
        </w:rPr>
      </w:pPr>
    </w:p>
    <w:p w:rsidR="00C61B0B" w:rsidRPr="003D3270" w:rsidRDefault="00C61B0B" w:rsidP="00575691">
      <w:pPr>
        <w:jc w:val="right"/>
        <w:rPr>
          <w:rFonts w:ascii="Calibri" w:hAnsi="Calibri" w:cs="Arial"/>
          <w:b/>
          <w:bCs/>
          <w:sz w:val="22"/>
          <w:szCs w:val="22"/>
        </w:rPr>
      </w:pPr>
    </w:p>
    <w:p w:rsidR="00575691" w:rsidRPr="003D3270" w:rsidRDefault="00575691" w:rsidP="007469F5">
      <w:pPr>
        <w:jc w:val="center"/>
        <w:rPr>
          <w:rFonts w:ascii="Calibri" w:hAnsi="Calibri" w:cs="Arial"/>
          <w:b/>
          <w:bCs/>
          <w:sz w:val="22"/>
          <w:szCs w:val="22"/>
        </w:rPr>
      </w:pPr>
      <w:r w:rsidRPr="003D3270">
        <w:rPr>
          <w:rFonts w:ascii="Calibri" w:hAnsi="Calibri" w:cs="Arial"/>
          <w:b/>
          <w:bCs/>
          <w:sz w:val="22"/>
          <w:szCs w:val="22"/>
        </w:rPr>
        <w:t xml:space="preserve">Tavola </w:t>
      </w:r>
      <w:r w:rsidR="00915F00" w:rsidRPr="003D3270">
        <w:rPr>
          <w:rFonts w:ascii="Calibri" w:hAnsi="Calibri" w:cs="Arial"/>
          <w:b/>
          <w:bCs/>
          <w:sz w:val="22"/>
          <w:szCs w:val="22"/>
        </w:rPr>
        <w:t>A</w:t>
      </w:r>
    </w:p>
    <w:p w:rsidR="00575691" w:rsidRPr="003D3270" w:rsidRDefault="00575691" w:rsidP="00575691">
      <w:pPr>
        <w:jc w:val="center"/>
        <w:rPr>
          <w:rFonts w:ascii="Calibri" w:hAnsi="Calibri" w:cs="Arial"/>
          <w:b/>
          <w:bCs/>
          <w:sz w:val="22"/>
          <w:szCs w:val="22"/>
        </w:rPr>
      </w:pPr>
    </w:p>
    <w:p w:rsidR="00575691" w:rsidRPr="003D3270" w:rsidRDefault="00C51F61" w:rsidP="00575691">
      <w:pPr>
        <w:jc w:val="center"/>
        <w:rPr>
          <w:rFonts w:ascii="Calibri" w:hAnsi="Calibri" w:cs="Arial"/>
          <w:bCs/>
          <w:i/>
          <w:sz w:val="22"/>
          <w:szCs w:val="22"/>
        </w:rPr>
      </w:pPr>
      <w:r w:rsidRPr="003D3270">
        <w:rPr>
          <w:rFonts w:ascii="Calibri" w:hAnsi="Calibri" w:cs="Arial"/>
          <w:b/>
          <w:bCs/>
          <w:sz w:val="22"/>
          <w:szCs w:val="22"/>
        </w:rPr>
        <w:t>Località che, rispetto al 2014</w:t>
      </w:r>
      <w:r w:rsidR="00575691" w:rsidRPr="003D3270">
        <w:rPr>
          <w:rFonts w:ascii="Calibri" w:hAnsi="Calibri" w:cs="Arial"/>
          <w:b/>
          <w:bCs/>
          <w:sz w:val="22"/>
          <w:szCs w:val="22"/>
        </w:rPr>
        <w:t xml:space="preserve">, non hanno </w:t>
      </w:r>
      <w:r w:rsidR="00B21983" w:rsidRPr="003D3270">
        <w:rPr>
          <w:rFonts w:ascii="Calibri" w:hAnsi="Calibri" w:cs="Arial"/>
          <w:b/>
          <w:bCs/>
          <w:sz w:val="22"/>
          <w:szCs w:val="22"/>
        </w:rPr>
        <w:t>registrato</w:t>
      </w:r>
      <w:r w:rsidR="00575691" w:rsidRPr="003D3270">
        <w:rPr>
          <w:rFonts w:ascii="Calibri" w:hAnsi="Calibri" w:cs="Arial"/>
          <w:b/>
          <w:bCs/>
          <w:sz w:val="22"/>
          <w:szCs w:val="22"/>
        </w:rPr>
        <w:t xml:space="preserve"> </w:t>
      </w:r>
      <w:r w:rsidR="00B21983" w:rsidRPr="003D3270">
        <w:rPr>
          <w:rFonts w:ascii="Calibri" w:hAnsi="Calibri" w:cs="Arial"/>
          <w:b/>
          <w:bCs/>
          <w:sz w:val="22"/>
          <w:szCs w:val="22"/>
        </w:rPr>
        <w:t>cali</w:t>
      </w:r>
      <w:r w:rsidR="00575691" w:rsidRPr="003D3270">
        <w:rPr>
          <w:rFonts w:ascii="Calibri" w:hAnsi="Calibri" w:cs="Arial"/>
          <w:b/>
          <w:bCs/>
          <w:sz w:val="22"/>
          <w:szCs w:val="22"/>
        </w:rPr>
        <w:t xml:space="preserve"> dei prezzi medi</w:t>
      </w:r>
      <w:r w:rsidR="00B21983" w:rsidRPr="003D3270">
        <w:rPr>
          <w:rFonts w:ascii="Calibri" w:hAnsi="Calibri" w:cs="Arial"/>
          <w:b/>
          <w:bCs/>
          <w:sz w:val="22"/>
          <w:szCs w:val="22"/>
        </w:rPr>
        <w:t xml:space="preserve"> di compravendita</w:t>
      </w:r>
      <w:r w:rsidR="00575691" w:rsidRPr="003D3270">
        <w:rPr>
          <w:rFonts w:ascii="Calibri" w:hAnsi="Calibri" w:cs="Arial"/>
          <w:b/>
          <w:bCs/>
          <w:sz w:val="22"/>
          <w:szCs w:val="22"/>
        </w:rPr>
        <w:t xml:space="preserve"> </w:t>
      </w:r>
      <w:r w:rsidR="00575691" w:rsidRPr="003D3270">
        <w:rPr>
          <w:rFonts w:ascii="Calibri" w:hAnsi="Calibri" w:cs="Arial"/>
          <w:bCs/>
          <w:i/>
          <w:sz w:val="22"/>
          <w:szCs w:val="22"/>
        </w:rPr>
        <w:t>(valori %)</w:t>
      </w:r>
      <w:r w:rsidR="00F56574" w:rsidRPr="003D3270">
        <w:rPr>
          <w:rFonts w:ascii="Calibri" w:hAnsi="Calibri" w:cs="Arial"/>
          <w:bCs/>
          <w:i/>
          <w:sz w:val="22"/>
          <w:szCs w:val="22"/>
        </w:rPr>
        <w:t xml:space="preserve"> </w:t>
      </w:r>
      <w:r w:rsidR="00B41D26" w:rsidRPr="003D3270">
        <w:rPr>
          <w:rFonts w:ascii="Calibri" w:hAnsi="Calibri" w:cs="Arial"/>
          <w:bCs/>
          <w:i/>
          <w:sz w:val="22"/>
          <w:szCs w:val="22"/>
        </w:rPr>
        <w:t xml:space="preserve"> </w:t>
      </w:r>
    </w:p>
    <w:p w:rsidR="00575691" w:rsidRPr="003D3270" w:rsidRDefault="00575691" w:rsidP="00575691">
      <w:pPr>
        <w:pStyle w:val="Default"/>
        <w:jc w:val="center"/>
        <w:rPr>
          <w:color w:val="auto"/>
          <w:sz w:val="22"/>
        </w:rPr>
      </w:pPr>
    </w:p>
    <w:p w:rsidR="00575691" w:rsidRPr="003D3270" w:rsidRDefault="00575691" w:rsidP="002D3762">
      <w:pPr>
        <w:pStyle w:val="Default"/>
        <w:pBdr>
          <w:top w:val="single" w:sz="12" w:space="1" w:color="1F497D" w:themeColor="text2"/>
        </w:pBdr>
        <w:shd w:val="clear" w:color="auto" w:fill="D9D9D9" w:themeFill="background1" w:themeFillShade="D9"/>
        <w:spacing w:after="120"/>
        <w:jc w:val="center"/>
        <w:rPr>
          <w:color w:val="auto"/>
          <w:sz w:val="20"/>
          <w:szCs w:val="20"/>
        </w:rPr>
      </w:pPr>
      <w:r w:rsidRPr="003D3270">
        <w:rPr>
          <w:b/>
          <w:bCs/>
          <w:color w:val="auto"/>
          <w:sz w:val="20"/>
          <w:szCs w:val="20"/>
        </w:rPr>
        <w:t>Aggiustamenti positivi dei prezzi medi</w:t>
      </w:r>
    </w:p>
    <w:p w:rsidR="00575691" w:rsidRPr="003D3270" w:rsidRDefault="00C51F61" w:rsidP="00C51F61">
      <w:pPr>
        <w:pStyle w:val="Default"/>
        <w:jc w:val="center"/>
        <w:rPr>
          <w:color w:val="auto"/>
          <w:sz w:val="20"/>
          <w:szCs w:val="20"/>
        </w:rPr>
      </w:pPr>
      <w:r w:rsidRPr="003D3270">
        <w:rPr>
          <w:color w:val="auto"/>
          <w:sz w:val="20"/>
          <w:szCs w:val="20"/>
        </w:rPr>
        <w:t>Cavedine (TN)</w:t>
      </w:r>
      <w:r w:rsidR="00575691" w:rsidRPr="003D3270">
        <w:rPr>
          <w:color w:val="auto"/>
          <w:sz w:val="20"/>
          <w:szCs w:val="20"/>
        </w:rPr>
        <w:t xml:space="preserve">: </w:t>
      </w:r>
      <w:r w:rsidRPr="003D3270">
        <w:rPr>
          <w:color w:val="auto"/>
          <w:sz w:val="20"/>
          <w:szCs w:val="20"/>
        </w:rPr>
        <w:t>9</w:t>
      </w:r>
      <w:r w:rsidR="00575691" w:rsidRPr="003D3270">
        <w:rPr>
          <w:color w:val="auto"/>
          <w:sz w:val="20"/>
          <w:szCs w:val="20"/>
        </w:rPr>
        <w:t>,</w:t>
      </w:r>
      <w:r w:rsidRPr="003D3270">
        <w:rPr>
          <w:color w:val="auto"/>
          <w:sz w:val="20"/>
          <w:szCs w:val="20"/>
        </w:rPr>
        <w:t>6% -</w:t>
      </w:r>
      <w:r w:rsidR="00575691" w:rsidRPr="003D3270">
        <w:rPr>
          <w:color w:val="auto"/>
          <w:sz w:val="20"/>
          <w:szCs w:val="20"/>
        </w:rPr>
        <w:t xml:space="preserve"> </w:t>
      </w:r>
      <w:r w:rsidRPr="003D3270">
        <w:rPr>
          <w:color w:val="auto"/>
          <w:sz w:val="20"/>
          <w:szCs w:val="20"/>
        </w:rPr>
        <w:t>Lavis (TN)</w:t>
      </w:r>
      <w:r w:rsidR="00575691" w:rsidRPr="003D3270">
        <w:rPr>
          <w:color w:val="auto"/>
          <w:sz w:val="20"/>
          <w:szCs w:val="20"/>
        </w:rPr>
        <w:t xml:space="preserve">: </w:t>
      </w:r>
      <w:r w:rsidRPr="003D3270">
        <w:rPr>
          <w:color w:val="auto"/>
          <w:sz w:val="20"/>
          <w:szCs w:val="20"/>
        </w:rPr>
        <w:t>1</w:t>
      </w:r>
      <w:r w:rsidR="00575691" w:rsidRPr="003D3270">
        <w:rPr>
          <w:color w:val="auto"/>
          <w:sz w:val="20"/>
          <w:szCs w:val="20"/>
        </w:rPr>
        <w:t>,</w:t>
      </w:r>
      <w:r w:rsidRPr="003D3270">
        <w:rPr>
          <w:color w:val="auto"/>
          <w:sz w:val="20"/>
          <w:szCs w:val="20"/>
        </w:rPr>
        <w:t>0</w:t>
      </w:r>
      <w:r w:rsidR="00575691" w:rsidRPr="003D3270">
        <w:rPr>
          <w:color w:val="auto"/>
          <w:sz w:val="20"/>
          <w:szCs w:val="20"/>
        </w:rPr>
        <w:t>%</w:t>
      </w:r>
    </w:p>
    <w:p w:rsidR="00C51F61" w:rsidRPr="003D3270" w:rsidRDefault="00C51F61" w:rsidP="00C51F61">
      <w:pPr>
        <w:pStyle w:val="Default"/>
        <w:jc w:val="center"/>
        <w:rPr>
          <w:color w:val="auto"/>
          <w:szCs w:val="20"/>
        </w:rPr>
      </w:pPr>
    </w:p>
    <w:p w:rsidR="00575691" w:rsidRPr="003D3270" w:rsidRDefault="00575691" w:rsidP="002D3762">
      <w:pPr>
        <w:pStyle w:val="Default"/>
        <w:shd w:val="clear" w:color="auto" w:fill="D9D9D9" w:themeFill="background1" w:themeFillShade="D9"/>
        <w:spacing w:after="120"/>
        <w:jc w:val="center"/>
        <w:rPr>
          <w:color w:val="auto"/>
          <w:sz w:val="20"/>
          <w:szCs w:val="20"/>
        </w:rPr>
      </w:pPr>
      <w:r w:rsidRPr="003D3270">
        <w:rPr>
          <w:b/>
          <w:bCs/>
          <w:color w:val="auto"/>
          <w:sz w:val="20"/>
          <w:szCs w:val="20"/>
        </w:rPr>
        <w:t>Variazioni % nulle</w:t>
      </w:r>
    </w:p>
    <w:p w:rsidR="00575691" w:rsidRPr="003D3270" w:rsidRDefault="00575691" w:rsidP="002D3762">
      <w:pPr>
        <w:pStyle w:val="Default"/>
        <w:spacing w:after="120"/>
        <w:jc w:val="center"/>
        <w:rPr>
          <w:color w:val="auto"/>
          <w:sz w:val="20"/>
          <w:szCs w:val="20"/>
        </w:rPr>
      </w:pPr>
      <w:r w:rsidRPr="003D3270">
        <w:rPr>
          <w:b/>
          <w:bCs/>
          <w:color w:val="auto"/>
          <w:sz w:val="20"/>
          <w:szCs w:val="20"/>
        </w:rPr>
        <w:t>Località di mare</w:t>
      </w:r>
    </w:p>
    <w:p w:rsidR="00575691" w:rsidRPr="003D3270" w:rsidRDefault="00C51F61" w:rsidP="00C51F61">
      <w:pPr>
        <w:jc w:val="center"/>
        <w:rPr>
          <w:rFonts w:ascii="Calibri" w:hAnsi="Calibri" w:cs="Arial"/>
          <w:sz w:val="20"/>
        </w:rPr>
      </w:pPr>
      <w:r w:rsidRPr="003D3270">
        <w:rPr>
          <w:rFonts w:ascii="Calibri" w:hAnsi="Calibri" w:cs="Arial"/>
          <w:sz w:val="20"/>
        </w:rPr>
        <w:t>Peschici (FG), Rodi Garganico (FG), Milazzo (ME), Campofelice Termini (PA), Terrasini (PA)</w:t>
      </w:r>
    </w:p>
    <w:p w:rsidR="00C51F61" w:rsidRPr="003D3270" w:rsidRDefault="00C51F61" w:rsidP="00C51F61">
      <w:pPr>
        <w:jc w:val="center"/>
        <w:rPr>
          <w:rFonts w:ascii="Calibri" w:hAnsi="Calibri" w:cs="Arial"/>
          <w:sz w:val="20"/>
        </w:rPr>
      </w:pPr>
    </w:p>
    <w:p w:rsidR="00575691" w:rsidRPr="003D3270" w:rsidRDefault="00575691" w:rsidP="002D3762">
      <w:pPr>
        <w:pStyle w:val="Default"/>
        <w:spacing w:after="120"/>
        <w:jc w:val="center"/>
        <w:rPr>
          <w:color w:val="auto"/>
          <w:sz w:val="20"/>
          <w:szCs w:val="20"/>
        </w:rPr>
      </w:pPr>
      <w:r w:rsidRPr="003D3270">
        <w:rPr>
          <w:b/>
          <w:bCs/>
          <w:color w:val="auto"/>
          <w:sz w:val="20"/>
          <w:szCs w:val="20"/>
        </w:rPr>
        <w:t>Località di montagna</w:t>
      </w:r>
    </w:p>
    <w:p w:rsidR="00575691" w:rsidRPr="003D3270" w:rsidRDefault="00C51F61" w:rsidP="00C51F61">
      <w:pPr>
        <w:pBdr>
          <w:bottom w:val="single" w:sz="12" w:space="1" w:color="1F497D" w:themeColor="text2"/>
        </w:pBdr>
        <w:spacing w:after="60"/>
        <w:jc w:val="center"/>
        <w:rPr>
          <w:rFonts w:ascii="Calibri" w:hAnsi="Calibri" w:cs="Arial"/>
          <w:sz w:val="20"/>
        </w:rPr>
      </w:pPr>
      <w:r w:rsidRPr="003D3270">
        <w:rPr>
          <w:rFonts w:ascii="Calibri" w:hAnsi="Calibri" w:cs="Arial"/>
          <w:sz w:val="20"/>
        </w:rPr>
        <w:t>Acqui Terme (AL), Lurisia (CN), Castiglione del Lago (PG), Città di Castello (PG), Foligno (PG), Gubbio (PG), Passignano (PG), Spoleto (PG), Todi (PG), Ravascletto (UD)</w:t>
      </w:r>
    </w:p>
    <w:p w:rsidR="005025ED" w:rsidRPr="003D3270" w:rsidRDefault="005025ED" w:rsidP="00C51F61">
      <w:pPr>
        <w:spacing w:before="60"/>
        <w:rPr>
          <w:rFonts w:asciiTheme="minorHAnsi" w:eastAsia="Calibri" w:hAnsiTheme="minorHAnsi" w:cstheme="minorHAnsi"/>
          <w:sz w:val="18"/>
        </w:rPr>
      </w:pPr>
      <w:r w:rsidRPr="003D3270">
        <w:rPr>
          <w:rFonts w:asciiTheme="minorHAnsi" w:eastAsia="Calibri" w:hAnsiTheme="minorHAnsi" w:cstheme="minorHAnsi"/>
          <w:sz w:val="18"/>
        </w:rPr>
        <w:t>Fonte: Nomisma e Fimaa-Confcommercio</w:t>
      </w:r>
    </w:p>
    <w:p w:rsidR="00575691" w:rsidRPr="003D3270" w:rsidRDefault="00575691" w:rsidP="00575691">
      <w:pPr>
        <w:spacing w:before="120"/>
        <w:jc w:val="left"/>
        <w:rPr>
          <w:rFonts w:ascii="Calibri" w:hAnsi="Calibri"/>
          <w:sz w:val="22"/>
          <w:szCs w:val="22"/>
        </w:rPr>
      </w:pPr>
      <w:r w:rsidRPr="003D3270">
        <w:rPr>
          <w:rFonts w:ascii="Calibri" w:hAnsi="Calibri"/>
          <w:sz w:val="22"/>
          <w:szCs w:val="22"/>
        </w:rPr>
        <w:br w:type="page"/>
      </w:r>
    </w:p>
    <w:p w:rsidR="00F335F2" w:rsidRDefault="00F335F2" w:rsidP="00575691">
      <w:pPr>
        <w:jc w:val="right"/>
        <w:rPr>
          <w:rFonts w:ascii="Calibri" w:hAnsi="Calibri" w:cs="Arial"/>
          <w:b/>
          <w:bCs/>
          <w:color w:val="000000"/>
          <w:sz w:val="22"/>
          <w:szCs w:val="22"/>
        </w:rPr>
      </w:pPr>
    </w:p>
    <w:p w:rsidR="00575691" w:rsidRPr="003D3270" w:rsidRDefault="00575691" w:rsidP="007469F5">
      <w:pPr>
        <w:jc w:val="center"/>
        <w:rPr>
          <w:rFonts w:ascii="Calibri" w:hAnsi="Calibri" w:cs="Arial"/>
          <w:b/>
          <w:bCs/>
          <w:sz w:val="22"/>
          <w:szCs w:val="22"/>
        </w:rPr>
      </w:pPr>
      <w:r w:rsidRPr="003D3270">
        <w:rPr>
          <w:rFonts w:ascii="Calibri" w:hAnsi="Calibri" w:cs="Arial"/>
          <w:b/>
          <w:bCs/>
          <w:sz w:val="22"/>
          <w:szCs w:val="22"/>
        </w:rPr>
        <w:t xml:space="preserve">Tavola </w:t>
      </w:r>
      <w:r w:rsidR="00915F00" w:rsidRPr="003D3270">
        <w:rPr>
          <w:rFonts w:ascii="Calibri" w:hAnsi="Calibri" w:cs="Arial"/>
          <w:b/>
          <w:bCs/>
          <w:sz w:val="22"/>
          <w:szCs w:val="22"/>
        </w:rPr>
        <w:t>B</w:t>
      </w:r>
    </w:p>
    <w:p w:rsidR="00575691" w:rsidRPr="003D3270" w:rsidRDefault="00575691" w:rsidP="00575691">
      <w:pPr>
        <w:jc w:val="center"/>
        <w:rPr>
          <w:rFonts w:ascii="Calibri" w:hAnsi="Calibri" w:cs="Arial"/>
          <w:bCs/>
          <w:sz w:val="22"/>
          <w:szCs w:val="22"/>
        </w:rPr>
      </w:pPr>
    </w:p>
    <w:p w:rsidR="00575691" w:rsidRPr="003D3270" w:rsidRDefault="00575691" w:rsidP="00575691">
      <w:pPr>
        <w:jc w:val="center"/>
        <w:rPr>
          <w:rFonts w:ascii="Calibri" w:hAnsi="Calibri" w:cs="Arial"/>
          <w:bCs/>
          <w:i/>
          <w:sz w:val="22"/>
          <w:szCs w:val="22"/>
        </w:rPr>
      </w:pPr>
      <w:r w:rsidRPr="003D3270">
        <w:rPr>
          <w:rFonts w:ascii="Calibri" w:hAnsi="Calibri" w:cs="Arial"/>
          <w:b/>
          <w:bCs/>
          <w:sz w:val="22"/>
          <w:szCs w:val="22"/>
        </w:rPr>
        <w:t>Variazioni percentuali annuali (201</w:t>
      </w:r>
      <w:r w:rsidR="00167778" w:rsidRPr="003D3270">
        <w:rPr>
          <w:rFonts w:ascii="Calibri" w:hAnsi="Calibri" w:cs="Arial"/>
          <w:b/>
          <w:bCs/>
          <w:sz w:val="22"/>
          <w:szCs w:val="22"/>
        </w:rPr>
        <w:t>5</w:t>
      </w:r>
      <w:r w:rsidRPr="003D3270">
        <w:rPr>
          <w:rFonts w:ascii="Calibri" w:hAnsi="Calibri" w:cs="Arial"/>
          <w:b/>
          <w:bCs/>
          <w:sz w:val="22"/>
          <w:szCs w:val="22"/>
        </w:rPr>
        <w:t>/201</w:t>
      </w:r>
      <w:r w:rsidR="00167778" w:rsidRPr="003D3270">
        <w:rPr>
          <w:rFonts w:ascii="Calibri" w:hAnsi="Calibri" w:cs="Arial"/>
          <w:b/>
          <w:bCs/>
          <w:sz w:val="22"/>
          <w:szCs w:val="22"/>
        </w:rPr>
        <w:t>4</w:t>
      </w:r>
      <w:r w:rsidRPr="003D3270">
        <w:rPr>
          <w:rFonts w:ascii="Calibri" w:hAnsi="Calibri" w:cs="Arial"/>
          <w:b/>
          <w:bCs/>
          <w:sz w:val="22"/>
          <w:szCs w:val="22"/>
        </w:rPr>
        <w:t xml:space="preserve">) nominali dei </w:t>
      </w:r>
      <w:r w:rsidR="00167778" w:rsidRPr="003D3270">
        <w:rPr>
          <w:rFonts w:ascii="Calibri" w:hAnsi="Calibri" w:cs="Arial"/>
          <w:b/>
          <w:bCs/>
          <w:sz w:val="22"/>
          <w:szCs w:val="22"/>
        </w:rPr>
        <w:t>prezzi medi di compravendita di</w:t>
      </w:r>
      <w:r w:rsidR="00167778" w:rsidRPr="003D3270">
        <w:rPr>
          <w:rFonts w:ascii="Calibri" w:hAnsi="Calibri" w:cs="Arial"/>
          <w:b/>
          <w:bCs/>
          <w:sz w:val="22"/>
          <w:szCs w:val="22"/>
        </w:rPr>
        <w:br/>
      </w:r>
      <w:r w:rsidRPr="003D3270">
        <w:rPr>
          <w:rFonts w:ascii="Calibri" w:hAnsi="Calibri" w:cs="Arial"/>
          <w:b/>
          <w:bCs/>
          <w:sz w:val="22"/>
          <w:szCs w:val="22"/>
        </w:rPr>
        <w:t xml:space="preserve">appartamenti nelle principali località turistiche italiane, per Regione </w:t>
      </w:r>
      <w:r w:rsidRPr="003D3270">
        <w:rPr>
          <w:rFonts w:ascii="Calibri" w:hAnsi="Calibri" w:cs="Arial"/>
          <w:bCs/>
          <w:i/>
          <w:sz w:val="22"/>
          <w:szCs w:val="22"/>
        </w:rPr>
        <w:t xml:space="preserve">(valori </w:t>
      </w:r>
      <w:r w:rsidR="002D3762" w:rsidRPr="003D3270">
        <w:rPr>
          <w:rFonts w:ascii="Calibri" w:hAnsi="Calibri" w:cs="Arial"/>
          <w:bCs/>
          <w:i/>
          <w:sz w:val="22"/>
          <w:szCs w:val="22"/>
        </w:rPr>
        <w:t>%</w:t>
      </w:r>
      <w:r w:rsidRPr="003D3270">
        <w:rPr>
          <w:rFonts w:ascii="Calibri" w:hAnsi="Calibri" w:cs="Arial"/>
          <w:bCs/>
          <w:i/>
          <w:sz w:val="22"/>
          <w:szCs w:val="22"/>
        </w:rPr>
        <w:t>)</w:t>
      </w:r>
    </w:p>
    <w:p w:rsidR="00575691" w:rsidRPr="003D3270" w:rsidRDefault="00575691" w:rsidP="00575691">
      <w:pPr>
        <w:autoSpaceDE w:val="0"/>
        <w:autoSpaceDN w:val="0"/>
        <w:adjustRightInd w:val="0"/>
        <w:jc w:val="center"/>
        <w:rPr>
          <w:rFonts w:ascii="Calibri" w:hAnsi="Calibri" w:cs="Calibri"/>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2717"/>
        <w:gridCol w:w="2821"/>
        <w:gridCol w:w="2822"/>
      </w:tblGrid>
      <w:tr w:rsidR="0081339A" w:rsidRPr="003D3270" w:rsidTr="002D3762">
        <w:trPr>
          <w:trHeight w:val="283"/>
          <w:jc w:val="center"/>
        </w:trPr>
        <w:tc>
          <w:tcPr>
            <w:tcW w:w="2717" w:type="dxa"/>
            <w:tcBorders>
              <w:top w:val="single" w:sz="8" w:space="0" w:color="auto"/>
              <w:left w:val="nil"/>
              <w:bottom w:val="single" w:sz="8" w:space="0" w:color="auto"/>
            </w:tcBorders>
            <w:shd w:val="clear" w:color="auto" w:fill="D9D9D9" w:themeFill="background1" w:themeFillShade="D9"/>
            <w:vAlign w:val="center"/>
          </w:tcPr>
          <w:p w:rsidR="00575691" w:rsidRPr="003D3270" w:rsidRDefault="00575691" w:rsidP="00575691">
            <w:pPr>
              <w:autoSpaceDE w:val="0"/>
              <w:autoSpaceDN w:val="0"/>
              <w:adjustRightInd w:val="0"/>
              <w:jc w:val="left"/>
              <w:rPr>
                <w:rFonts w:asciiTheme="minorHAnsi" w:hAnsiTheme="minorHAnsi" w:cstheme="minorHAnsi"/>
                <w:sz w:val="20"/>
              </w:rPr>
            </w:pPr>
            <w:r w:rsidRPr="003D3270">
              <w:rPr>
                <w:rFonts w:asciiTheme="minorHAnsi" w:hAnsiTheme="minorHAnsi" w:cstheme="minorHAnsi"/>
                <w:b/>
                <w:bCs/>
                <w:sz w:val="20"/>
              </w:rPr>
              <w:t>Regione</w:t>
            </w:r>
          </w:p>
        </w:tc>
        <w:tc>
          <w:tcPr>
            <w:tcW w:w="2821" w:type="dxa"/>
            <w:tcBorders>
              <w:top w:val="single" w:sz="8" w:space="0" w:color="auto"/>
              <w:bottom w:val="single" w:sz="8" w:space="0" w:color="auto"/>
            </w:tcBorders>
            <w:shd w:val="clear" w:color="auto" w:fill="D9D9D9" w:themeFill="background1" w:themeFillShade="D9"/>
            <w:vAlign w:val="center"/>
          </w:tcPr>
          <w:p w:rsidR="00575691" w:rsidRPr="003D3270" w:rsidRDefault="00575691" w:rsidP="00575691">
            <w:pPr>
              <w:autoSpaceDE w:val="0"/>
              <w:autoSpaceDN w:val="0"/>
              <w:adjustRightInd w:val="0"/>
              <w:jc w:val="center"/>
              <w:rPr>
                <w:rFonts w:asciiTheme="minorHAnsi" w:hAnsiTheme="minorHAnsi" w:cstheme="minorHAnsi"/>
                <w:sz w:val="20"/>
              </w:rPr>
            </w:pPr>
            <w:r w:rsidRPr="003D3270">
              <w:rPr>
                <w:rFonts w:asciiTheme="minorHAnsi" w:hAnsiTheme="minorHAnsi" w:cstheme="minorHAnsi"/>
                <w:b/>
                <w:bCs/>
                <w:sz w:val="20"/>
              </w:rPr>
              <w:t>Località di mare</w:t>
            </w:r>
          </w:p>
        </w:tc>
        <w:tc>
          <w:tcPr>
            <w:tcW w:w="2822" w:type="dxa"/>
            <w:tcBorders>
              <w:top w:val="single" w:sz="8" w:space="0" w:color="auto"/>
              <w:bottom w:val="single" w:sz="8" w:space="0" w:color="auto"/>
              <w:right w:val="nil"/>
            </w:tcBorders>
            <w:shd w:val="clear" w:color="auto" w:fill="D9D9D9" w:themeFill="background1" w:themeFillShade="D9"/>
            <w:vAlign w:val="center"/>
          </w:tcPr>
          <w:p w:rsidR="00575691" w:rsidRPr="003D3270" w:rsidRDefault="00575691" w:rsidP="00575691">
            <w:pPr>
              <w:autoSpaceDE w:val="0"/>
              <w:autoSpaceDN w:val="0"/>
              <w:adjustRightInd w:val="0"/>
              <w:jc w:val="center"/>
              <w:rPr>
                <w:rFonts w:asciiTheme="minorHAnsi" w:hAnsiTheme="minorHAnsi" w:cstheme="minorHAnsi"/>
                <w:sz w:val="20"/>
              </w:rPr>
            </w:pPr>
            <w:r w:rsidRPr="003D3270">
              <w:rPr>
                <w:rFonts w:asciiTheme="minorHAnsi" w:hAnsiTheme="minorHAnsi" w:cstheme="minorHAnsi"/>
                <w:b/>
                <w:bCs/>
                <w:sz w:val="20"/>
              </w:rPr>
              <w:t>Località montane e lacuali</w:t>
            </w:r>
          </w:p>
        </w:tc>
      </w:tr>
      <w:tr w:rsidR="0081339A" w:rsidRPr="003D3270" w:rsidTr="00575691">
        <w:trPr>
          <w:trHeight w:val="283"/>
          <w:jc w:val="center"/>
        </w:trPr>
        <w:tc>
          <w:tcPr>
            <w:tcW w:w="2717" w:type="dxa"/>
            <w:tcBorders>
              <w:top w:val="single" w:sz="8" w:space="0" w:color="auto"/>
            </w:tcBorders>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Abruzzo</w:t>
            </w:r>
          </w:p>
        </w:tc>
        <w:tc>
          <w:tcPr>
            <w:tcW w:w="2821" w:type="dxa"/>
            <w:tcBorders>
              <w:top w:val="single" w:sz="8" w:space="0" w:color="auto"/>
            </w:tcBorders>
            <w:vAlign w:val="center"/>
          </w:tcPr>
          <w:p w:rsidR="00575691" w:rsidRPr="003D3270" w:rsidRDefault="00575691" w:rsidP="00DF7D06">
            <w:pPr>
              <w:jc w:val="center"/>
              <w:rPr>
                <w:rFonts w:asciiTheme="minorHAnsi" w:hAnsiTheme="minorHAnsi" w:cstheme="minorHAnsi"/>
                <w:sz w:val="20"/>
              </w:rPr>
            </w:pPr>
            <w:r w:rsidRPr="003D3270">
              <w:rPr>
                <w:rFonts w:asciiTheme="minorHAnsi" w:hAnsiTheme="minorHAnsi" w:cstheme="minorHAnsi"/>
                <w:sz w:val="20"/>
              </w:rPr>
              <w:t>-</w:t>
            </w:r>
            <w:r w:rsidR="00DF7D06" w:rsidRPr="003D3270">
              <w:rPr>
                <w:rFonts w:asciiTheme="minorHAnsi" w:hAnsiTheme="minorHAnsi" w:cstheme="minorHAnsi"/>
                <w:sz w:val="20"/>
              </w:rPr>
              <w:t>9</w:t>
            </w:r>
            <w:r w:rsidRPr="003D3270">
              <w:rPr>
                <w:rFonts w:asciiTheme="minorHAnsi" w:hAnsiTheme="minorHAnsi" w:cstheme="minorHAnsi"/>
                <w:sz w:val="20"/>
              </w:rPr>
              <w:t>,7%</w:t>
            </w:r>
          </w:p>
        </w:tc>
        <w:tc>
          <w:tcPr>
            <w:tcW w:w="2822" w:type="dxa"/>
            <w:tcBorders>
              <w:top w:val="single" w:sz="8" w:space="0" w:color="auto"/>
            </w:tcBorders>
            <w:vAlign w:val="center"/>
          </w:tcPr>
          <w:p w:rsidR="00575691" w:rsidRPr="003D3270" w:rsidRDefault="00DF7D06" w:rsidP="00575691">
            <w:pPr>
              <w:jc w:val="center"/>
              <w:rPr>
                <w:rFonts w:asciiTheme="minorHAnsi" w:hAnsiTheme="minorHAnsi" w:cstheme="minorHAnsi"/>
                <w:sz w:val="20"/>
              </w:rPr>
            </w:pPr>
            <w:r w:rsidRPr="003D3270">
              <w:rPr>
                <w:rFonts w:asciiTheme="minorHAnsi" w:hAnsiTheme="minorHAnsi" w:cstheme="minorHAnsi"/>
                <w:sz w:val="20"/>
              </w:rPr>
              <w:t>-8,0</w:t>
            </w:r>
            <w:r w:rsidR="00575691" w:rsidRPr="003D3270">
              <w:rPr>
                <w:rFonts w:asciiTheme="minorHAnsi" w:hAnsiTheme="minorHAnsi" w:cstheme="minorHAnsi"/>
                <w:sz w:val="20"/>
              </w:rPr>
              <w:t>%</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Basilicata</w:t>
            </w:r>
          </w:p>
        </w:tc>
        <w:tc>
          <w:tcPr>
            <w:tcW w:w="2821" w:type="dxa"/>
            <w:vAlign w:val="center"/>
          </w:tcPr>
          <w:p w:rsidR="00575691" w:rsidRPr="003D3270" w:rsidRDefault="00DF7D06" w:rsidP="00DF7D06">
            <w:pPr>
              <w:jc w:val="center"/>
              <w:rPr>
                <w:rFonts w:asciiTheme="minorHAnsi" w:hAnsiTheme="minorHAnsi" w:cstheme="minorHAnsi"/>
                <w:sz w:val="20"/>
              </w:rPr>
            </w:pPr>
            <w:r w:rsidRPr="003D3270">
              <w:rPr>
                <w:rFonts w:asciiTheme="minorHAnsi" w:hAnsiTheme="minorHAnsi" w:cstheme="minorHAnsi"/>
                <w:sz w:val="20"/>
              </w:rPr>
              <w:t>-6</w:t>
            </w:r>
            <w:r w:rsidR="00575691" w:rsidRPr="003D3270">
              <w:rPr>
                <w:rFonts w:asciiTheme="minorHAnsi" w:hAnsiTheme="minorHAnsi" w:cstheme="minorHAnsi"/>
                <w:sz w:val="20"/>
              </w:rPr>
              <w:t>,</w:t>
            </w:r>
            <w:r w:rsidRPr="003D3270">
              <w:rPr>
                <w:rFonts w:asciiTheme="minorHAnsi" w:hAnsiTheme="minorHAnsi" w:cstheme="minorHAnsi"/>
                <w:sz w:val="20"/>
              </w:rPr>
              <w:t>0</w:t>
            </w:r>
            <w:r w:rsidR="00575691" w:rsidRPr="003D3270">
              <w:rPr>
                <w:rFonts w:asciiTheme="minorHAnsi" w:hAnsiTheme="minorHAnsi" w:cstheme="minorHAnsi"/>
                <w:sz w:val="20"/>
              </w:rPr>
              <w:t>%</w:t>
            </w:r>
          </w:p>
        </w:tc>
        <w:tc>
          <w:tcPr>
            <w:tcW w:w="2822"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Calabria</w:t>
            </w:r>
          </w:p>
        </w:tc>
        <w:tc>
          <w:tcPr>
            <w:tcW w:w="2821" w:type="dxa"/>
            <w:vAlign w:val="center"/>
          </w:tcPr>
          <w:p w:rsidR="00575691" w:rsidRPr="003D3270" w:rsidRDefault="00575691" w:rsidP="00DF7D06">
            <w:pPr>
              <w:jc w:val="center"/>
              <w:rPr>
                <w:rFonts w:asciiTheme="minorHAnsi" w:hAnsiTheme="minorHAnsi" w:cstheme="minorHAnsi"/>
                <w:sz w:val="20"/>
              </w:rPr>
            </w:pPr>
            <w:r w:rsidRPr="003D3270">
              <w:rPr>
                <w:rFonts w:asciiTheme="minorHAnsi" w:hAnsiTheme="minorHAnsi" w:cstheme="minorHAnsi"/>
                <w:sz w:val="20"/>
              </w:rPr>
              <w:t>-</w:t>
            </w:r>
            <w:r w:rsidR="00DF7D06" w:rsidRPr="003D3270">
              <w:rPr>
                <w:rFonts w:asciiTheme="minorHAnsi" w:hAnsiTheme="minorHAnsi" w:cstheme="minorHAnsi"/>
                <w:sz w:val="20"/>
              </w:rPr>
              <w:t>7</w:t>
            </w:r>
            <w:r w:rsidRPr="003D3270">
              <w:rPr>
                <w:rFonts w:asciiTheme="minorHAnsi" w:hAnsiTheme="minorHAnsi" w:cstheme="minorHAnsi"/>
                <w:sz w:val="20"/>
              </w:rPr>
              <w:t>,</w:t>
            </w:r>
            <w:r w:rsidR="00DF7D06" w:rsidRPr="003D3270">
              <w:rPr>
                <w:rFonts w:asciiTheme="minorHAnsi" w:hAnsiTheme="minorHAnsi" w:cstheme="minorHAnsi"/>
                <w:sz w:val="20"/>
              </w:rPr>
              <w:t>3</w:t>
            </w:r>
            <w:r w:rsidRPr="003D3270">
              <w:rPr>
                <w:rFonts w:asciiTheme="minorHAnsi" w:hAnsiTheme="minorHAnsi" w:cstheme="minorHAnsi"/>
                <w:sz w:val="20"/>
              </w:rPr>
              <w:t>%</w:t>
            </w:r>
          </w:p>
        </w:tc>
        <w:tc>
          <w:tcPr>
            <w:tcW w:w="2822" w:type="dxa"/>
            <w:vAlign w:val="center"/>
          </w:tcPr>
          <w:p w:rsidR="00575691" w:rsidRPr="003D3270" w:rsidRDefault="00575691" w:rsidP="00DF7D06">
            <w:pPr>
              <w:jc w:val="center"/>
              <w:rPr>
                <w:rFonts w:asciiTheme="minorHAnsi" w:hAnsiTheme="minorHAnsi" w:cstheme="minorHAnsi"/>
                <w:sz w:val="20"/>
              </w:rPr>
            </w:pPr>
            <w:r w:rsidRPr="003D3270">
              <w:rPr>
                <w:rFonts w:asciiTheme="minorHAnsi" w:hAnsiTheme="minorHAnsi" w:cstheme="minorHAnsi"/>
                <w:sz w:val="20"/>
              </w:rPr>
              <w:t>-</w:t>
            </w:r>
            <w:r w:rsidR="00DF7D06" w:rsidRPr="003D3270">
              <w:rPr>
                <w:rFonts w:asciiTheme="minorHAnsi" w:hAnsiTheme="minorHAnsi" w:cstheme="minorHAnsi"/>
                <w:sz w:val="20"/>
              </w:rPr>
              <w:t>9</w:t>
            </w:r>
            <w:r w:rsidRPr="003D3270">
              <w:rPr>
                <w:rFonts w:asciiTheme="minorHAnsi" w:hAnsiTheme="minorHAnsi" w:cstheme="minorHAnsi"/>
                <w:sz w:val="20"/>
              </w:rPr>
              <w:t>,</w:t>
            </w:r>
            <w:r w:rsidR="00DF7D06" w:rsidRPr="003D3270">
              <w:rPr>
                <w:rFonts w:asciiTheme="minorHAnsi" w:hAnsiTheme="minorHAnsi" w:cstheme="minorHAnsi"/>
                <w:sz w:val="20"/>
              </w:rPr>
              <w:t>5</w:t>
            </w:r>
            <w:r w:rsidRPr="003D3270">
              <w:rPr>
                <w:rFonts w:asciiTheme="minorHAnsi" w:hAnsiTheme="minorHAnsi" w:cstheme="minorHAnsi"/>
                <w:sz w:val="20"/>
              </w:rPr>
              <w:t>%</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Campania</w:t>
            </w:r>
          </w:p>
        </w:tc>
        <w:tc>
          <w:tcPr>
            <w:tcW w:w="2821" w:type="dxa"/>
            <w:vAlign w:val="center"/>
          </w:tcPr>
          <w:p w:rsidR="00575691" w:rsidRPr="003D3270" w:rsidRDefault="00DF7D06" w:rsidP="00DF7D06">
            <w:pPr>
              <w:jc w:val="center"/>
              <w:rPr>
                <w:rFonts w:asciiTheme="minorHAnsi" w:hAnsiTheme="minorHAnsi" w:cstheme="minorHAnsi"/>
                <w:sz w:val="20"/>
              </w:rPr>
            </w:pPr>
            <w:r w:rsidRPr="003D3270">
              <w:rPr>
                <w:rFonts w:asciiTheme="minorHAnsi" w:hAnsiTheme="minorHAnsi" w:cstheme="minorHAnsi"/>
                <w:sz w:val="20"/>
              </w:rPr>
              <w:t>-4</w:t>
            </w:r>
            <w:r w:rsidR="00575691" w:rsidRPr="003D3270">
              <w:rPr>
                <w:rFonts w:asciiTheme="minorHAnsi" w:hAnsiTheme="minorHAnsi" w:cstheme="minorHAnsi"/>
                <w:sz w:val="20"/>
              </w:rPr>
              <w:t>,</w:t>
            </w:r>
            <w:r w:rsidRPr="003D3270">
              <w:rPr>
                <w:rFonts w:asciiTheme="minorHAnsi" w:hAnsiTheme="minorHAnsi" w:cstheme="minorHAnsi"/>
                <w:sz w:val="20"/>
              </w:rPr>
              <w:t>9</w:t>
            </w:r>
            <w:r w:rsidR="00575691" w:rsidRPr="003D3270">
              <w:rPr>
                <w:rFonts w:asciiTheme="minorHAnsi" w:hAnsiTheme="minorHAnsi" w:cstheme="minorHAnsi"/>
                <w:sz w:val="20"/>
              </w:rPr>
              <w:t>%</w:t>
            </w:r>
          </w:p>
        </w:tc>
        <w:tc>
          <w:tcPr>
            <w:tcW w:w="2822"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Emilia Romagna</w:t>
            </w:r>
          </w:p>
        </w:tc>
        <w:tc>
          <w:tcPr>
            <w:tcW w:w="2821" w:type="dxa"/>
            <w:vAlign w:val="center"/>
          </w:tcPr>
          <w:p w:rsidR="00575691" w:rsidRPr="003D3270" w:rsidRDefault="00575691" w:rsidP="00DF7D06">
            <w:pPr>
              <w:jc w:val="center"/>
              <w:rPr>
                <w:rFonts w:asciiTheme="minorHAnsi" w:hAnsiTheme="minorHAnsi" w:cstheme="minorHAnsi"/>
                <w:sz w:val="20"/>
              </w:rPr>
            </w:pPr>
            <w:r w:rsidRPr="003D3270">
              <w:rPr>
                <w:rFonts w:asciiTheme="minorHAnsi" w:hAnsiTheme="minorHAnsi" w:cstheme="minorHAnsi"/>
                <w:sz w:val="20"/>
              </w:rPr>
              <w:t>-</w:t>
            </w:r>
            <w:r w:rsidR="00DF7D06" w:rsidRPr="003D3270">
              <w:rPr>
                <w:rFonts w:asciiTheme="minorHAnsi" w:hAnsiTheme="minorHAnsi" w:cstheme="minorHAnsi"/>
                <w:sz w:val="20"/>
              </w:rPr>
              <w:t>5</w:t>
            </w:r>
            <w:r w:rsidRPr="003D3270">
              <w:rPr>
                <w:rFonts w:asciiTheme="minorHAnsi" w:hAnsiTheme="minorHAnsi" w:cstheme="minorHAnsi"/>
                <w:sz w:val="20"/>
              </w:rPr>
              <w:t>,</w:t>
            </w:r>
            <w:r w:rsidR="00DF7D06" w:rsidRPr="003D3270">
              <w:rPr>
                <w:rFonts w:asciiTheme="minorHAnsi" w:hAnsiTheme="minorHAnsi" w:cstheme="minorHAnsi"/>
                <w:sz w:val="20"/>
              </w:rPr>
              <w:t>0</w:t>
            </w:r>
            <w:r w:rsidRPr="003D3270">
              <w:rPr>
                <w:rFonts w:asciiTheme="minorHAnsi" w:hAnsiTheme="minorHAnsi" w:cstheme="minorHAnsi"/>
                <w:sz w:val="20"/>
              </w:rPr>
              <w:t>%</w:t>
            </w:r>
          </w:p>
        </w:tc>
        <w:tc>
          <w:tcPr>
            <w:tcW w:w="2822"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Friuli Venezia-Giulia</w:t>
            </w:r>
          </w:p>
        </w:tc>
        <w:tc>
          <w:tcPr>
            <w:tcW w:w="2821" w:type="dxa"/>
            <w:vAlign w:val="center"/>
          </w:tcPr>
          <w:p w:rsidR="00575691" w:rsidRPr="003D3270" w:rsidRDefault="00DF7D06" w:rsidP="00DF7D06">
            <w:pPr>
              <w:jc w:val="center"/>
              <w:rPr>
                <w:rFonts w:asciiTheme="minorHAnsi" w:hAnsiTheme="minorHAnsi" w:cstheme="minorHAnsi"/>
                <w:sz w:val="20"/>
              </w:rPr>
            </w:pPr>
            <w:r w:rsidRPr="003D3270">
              <w:rPr>
                <w:rFonts w:asciiTheme="minorHAnsi" w:hAnsiTheme="minorHAnsi" w:cstheme="minorHAnsi"/>
                <w:sz w:val="20"/>
              </w:rPr>
              <w:t>-3</w:t>
            </w:r>
            <w:r w:rsidR="00575691" w:rsidRPr="003D3270">
              <w:rPr>
                <w:rFonts w:asciiTheme="minorHAnsi" w:hAnsiTheme="minorHAnsi" w:cstheme="minorHAnsi"/>
                <w:sz w:val="20"/>
              </w:rPr>
              <w:t>,</w:t>
            </w:r>
            <w:r w:rsidRPr="003D3270">
              <w:rPr>
                <w:rFonts w:asciiTheme="minorHAnsi" w:hAnsiTheme="minorHAnsi" w:cstheme="minorHAnsi"/>
                <w:sz w:val="20"/>
              </w:rPr>
              <w:t>4</w:t>
            </w:r>
            <w:r w:rsidR="00575691" w:rsidRPr="003D3270">
              <w:rPr>
                <w:rFonts w:asciiTheme="minorHAnsi" w:hAnsiTheme="minorHAnsi" w:cstheme="minorHAnsi"/>
                <w:sz w:val="20"/>
              </w:rPr>
              <w:t>%</w:t>
            </w:r>
          </w:p>
        </w:tc>
        <w:tc>
          <w:tcPr>
            <w:tcW w:w="2822" w:type="dxa"/>
            <w:vAlign w:val="center"/>
          </w:tcPr>
          <w:p w:rsidR="00575691" w:rsidRPr="003D3270" w:rsidRDefault="00575691" w:rsidP="00DF7D06">
            <w:pPr>
              <w:jc w:val="center"/>
              <w:rPr>
                <w:rFonts w:asciiTheme="minorHAnsi" w:hAnsiTheme="minorHAnsi" w:cstheme="minorHAnsi"/>
                <w:sz w:val="20"/>
              </w:rPr>
            </w:pPr>
            <w:r w:rsidRPr="003D3270">
              <w:rPr>
                <w:rFonts w:asciiTheme="minorHAnsi" w:hAnsiTheme="minorHAnsi" w:cstheme="minorHAnsi"/>
                <w:sz w:val="20"/>
              </w:rPr>
              <w:t>-</w:t>
            </w:r>
            <w:r w:rsidR="00DF7D06" w:rsidRPr="003D3270">
              <w:rPr>
                <w:rFonts w:asciiTheme="minorHAnsi" w:hAnsiTheme="minorHAnsi" w:cstheme="minorHAnsi"/>
                <w:sz w:val="20"/>
              </w:rPr>
              <w:t>2</w:t>
            </w:r>
            <w:r w:rsidRPr="003D3270">
              <w:rPr>
                <w:rFonts w:asciiTheme="minorHAnsi" w:hAnsiTheme="minorHAnsi" w:cstheme="minorHAnsi"/>
                <w:sz w:val="20"/>
              </w:rPr>
              <w:t>,</w:t>
            </w:r>
            <w:r w:rsidR="00DF7D06" w:rsidRPr="003D3270">
              <w:rPr>
                <w:rFonts w:asciiTheme="minorHAnsi" w:hAnsiTheme="minorHAnsi" w:cstheme="minorHAnsi"/>
                <w:sz w:val="20"/>
              </w:rPr>
              <w:t>0</w:t>
            </w:r>
            <w:r w:rsidRPr="003D3270">
              <w:rPr>
                <w:rFonts w:asciiTheme="minorHAnsi" w:hAnsiTheme="minorHAnsi" w:cstheme="minorHAnsi"/>
                <w:sz w:val="20"/>
              </w:rPr>
              <w:t>%</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Lazio</w:t>
            </w:r>
          </w:p>
        </w:tc>
        <w:tc>
          <w:tcPr>
            <w:tcW w:w="2821" w:type="dxa"/>
            <w:vAlign w:val="center"/>
          </w:tcPr>
          <w:p w:rsidR="00575691" w:rsidRPr="003D3270" w:rsidRDefault="00575691" w:rsidP="00DF7D06">
            <w:pPr>
              <w:jc w:val="center"/>
              <w:rPr>
                <w:rFonts w:asciiTheme="minorHAnsi" w:hAnsiTheme="minorHAnsi" w:cstheme="minorHAnsi"/>
                <w:sz w:val="20"/>
              </w:rPr>
            </w:pPr>
            <w:r w:rsidRPr="003D3270">
              <w:rPr>
                <w:rFonts w:asciiTheme="minorHAnsi" w:hAnsiTheme="minorHAnsi" w:cstheme="minorHAnsi"/>
                <w:sz w:val="20"/>
              </w:rPr>
              <w:t>-4,</w:t>
            </w:r>
            <w:r w:rsidR="00DF7D06" w:rsidRPr="003D3270">
              <w:rPr>
                <w:rFonts w:asciiTheme="minorHAnsi" w:hAnsiTheme="minorHAnsi" w:cstheme="minorHAnsi"/>
                <w:sz w:val="20"/>
              </w:rPr>
              <w:t>8</w:t>
            </w:r>
            <w:r w:rsidRPr="003D3270">
              <w:rPr>
                <w:rFonts w:asciiTheme="minorHAnsi" w:hAnsiTheme="minorHAnsi" w:cstheme="minorHAnsi"/>
                <w:sz w:val="20"/>
              </w:rPr>
              <w:t>%</w:t>
            </w:r>
          </w:p>
        </w:tc>
        <w:tc>
          <w:tcPr>
            <w:tcW w:w="2822"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Liguria</w:t>
            </w:r>
          </w:p>
        </w:tc>
        <w:tc>
          <w:tcPr>
            <w:tcW w:w="2821" w:type="dxa"/>
            <w:vAlign w:val="center"/>
          </w:tcPr>
          <w:p w:rsidR="00575691" w:rsidRPr="003D3270" w:rsidRDefault="00575691" w:rsidP="00DF7D06">
            <w:pPr>
              <w:jc w:val="center"/>
              <w:rPr>
                <w:rFonts w:asciiTheme="minorHAnsi" w:hAnsiTheme="minorHAnsi" w:cstheme="minorHAnsi"/>
                <w:sz w:val="20"/>
              </w:rPr>
            </w:pPr>
            <w:r w:rsidRPr="003D3270">
              <w:rPr>
                <w:rFonts w:asciiTheme="minorHAnsi" w:hAnsiTheme="minorHAnsi" w:cstheme="minorHAnsi"/>
                <w:sz w:val="20"/>
              </w:rPr>
              <w:t>-</w:t>
            </w:r>
            <w:r w:rsidR="00DF7D06" w:rsidRPr="003D3270">
              <w:rPr>
                <w:rFonts w:asciiTheme="minorHAnsi" w:hAnsiTheme="minorHAnsi" w:cstheme="minorHAnsi"/>
                <w:sz w:val="20"/>
              </w:rPr>
              <w:t>4</w:t>
            </w:r>
            <w:r w:rsidRPr="003D3270">
              <w:rPr>
                <w:rFonts w:asciiTheme="minorHAnsi" w:hAnsiTheme="minorHAnsi" w:cstheme="minorHAnsi"/>
                <w:sz w:val="20"/>
              </w:rPr>
              <w:t>,</w:t>
            </w:r>
            <w:r w:rsidR="00DF7D06" w:rsidRPr="003D3270">
              <w:rPr>
                <w:rFonts w:asciiTheme="minorHAnsi" w:hAnsiTheme="minorHAnsi" w:cstheme="minorHAnsi"/>
                <w:sz w:val="20"/>
              </w:rPr>
              <w:t>4</w:t>
            </w:r>
            <w:r w:rsidRPr="003D3270">
              <w:rPr>
                <w:rFonts w:asciiTheme="minorHAnsi" w:hAnsiTheme="minorHAnsi" w:cstheme="minorHAnsi"/>
                <w:sz w:val="20"/>
              </w:rPr>
              <w:t>%</w:t>
            </w:r>
          </w:p>
        </w:tc>
        <w:tc>
          <w:tcPr>
            <w:tcW w:w="2822"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Lombardia</w:t>
            </w:r>
          </w:p>
        </w:tc>
        <w:tc>
          <w:tcPr>
            <w:tcW w:w="2821"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c>
          <w:tcPr>
            <w:tcW w:w="2822" w:type="dxa"/>
            <w:vAlign w:val="center"/>
          </w:tcPr>
          <w:p w:rsidR="00575691" w:rsidRPr="003D3270" w:rsidRDefault="00DF7D06" w:rsidP="00DF7D06">
            <w:pPr>
              <w:jc w:val="center"/>
              <w:rPr>
                <w:rFonts w:asciiTheme="minorHAnsi" w:hAnsiTheme="minorHAnsi" w:cstheme="minorHAnsi"/>
                <w:sz w:val="20"/>
              </w:rPr>
            </w:pPr>
            <w:r w:rsidRPr="003D3270">
              <w:rPr>
                <w:rFonts w:asciiTheme="minorHAnsi" w:hAnsiTheme="minorHAnsi" w:cstheme="minorHAnsi"/>
                <w:sz w:val="20"/>
              </w:rPr>
              <w:t>-5</w:t>
            </w:r>
            <w:r w:rsidR="00575691" w:rsidRPr="003D3270">
              <w:rPr>
                <w:rFonts w:asciiTheme="minorHAnsi" w:hAnsiTheme="minorHAnsi" w:cstheme="minorHAnsi"/>
                <w:sz w:val="20"/>
              </w:rPr>
              <w:t>,</w:t>
            </w:r>
            <w:r w:rsidRPr="003D3270">
              <w:rPr>
                <w:rFonts w:asciiTheme="minorHAnsi" w:hAnsiTheme="minorHAnsi" w:cstheme="minorHAnsi"/>
                <w:sz w:val="20"/>
              </w:rPr>
              <w:t>3</w:t>
            </w:r>
            <w:r w:rsidR="00575691" w:rsidRPr="003D3270">
              <w:rPr>
                <w:rFonts w:asciiTheme="minorHAnsi" w:hAnsiTheme="minorHAnsi" w:cstheme="minorHAnsi"/>
                <w:sz w:val="20"/>
              </w:rPr>
              <w:t>%</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Marche</w:t>
            </w:r>
          </w:p>
        </w:tc>
        <w:tc>
          <w:tcPr>
            <w:tcW w:w="2821" w:type="dxa"/>
            <w:vAlign w:val="center"/>
          </w:tcPr>
          <w:p w:rsidR="00575691" w:rsidRPr="003D3270" w:rsidRDefault="00575691" w:rsidP="00CD4EBB">
            <w:pPr>
              <w:jc w:val="center"/>
              <w:rPr>
                <w:rFonts w:asciiTheme="minorHAnsi" w:hAnsiTheme="minorHAnsi" w:cstheme="minorHAnsi"/>
                <w:sz w:val="20"/>
              </w:rPr>
            </w:pPr>
            <w:r w:rsidRPr="003D3270">
              <w:rPr>
                <w:rFonts w:asciiTheme="minorHAnsi" w:hAnsiTheme="minorHAnsi" w:cstheme="minorHAnsi"/>
                <w:sz w:val="20"/>
              </w:rPr>
              <w:t>-</w:t>
            </w:r>
            <w:r w:rsidR="00CD4EBB" w:rsidRPr="003D3270">
              <w:rPr>
                <w:rFonts w:asciiTheme="minorHAnsi" w:hAnsiTheme="minorHAnsi" w:cstheme="minorHAnsi"/>
                <w:sz w:val="20"/>
              </w:rPr>
              <w:t>5</w:t>
            </w:r>
            <w:r w:rsidRPr="003D3270">
              <w:rPr>
                <w:rFonts w:asciiTheme="minorHAnsi" w:hAnsiTheme="minorHAnsi" w:cstheme="minorHAnsi"/>
                <w:sz w:val="20"/>
              </w:rPr>
              <w:t>,</w:t>
            </w:r>
            <w:r w:rsidR="00CD4EBB" w:rsidRPr="003D3270">
              <w:rPr>
                <w:rFonts w:asciiTheme="minorHAnsi" w:hAnsiTheme="minorHAnsi" w:cstheme="minorHAnsi"/>
                <w:sz w:val="20"/>
              </w:rPr>
              <w:t>9</w:t>
            </w:r>
            <w:r w:rsidRPr="003D3270">
              <w:rPr>
                <w:rFonts w:asciiTheme="minorHAnsi" w:hAnsiTheme="minorHAnsi" w:cstheme="minorHAnsi"/>
                <w:sz w:val="20"/>
              </w:rPr>
              <w:t>%</w:t>
            </w:r>
          </w:p>
        </w:tc>
        <w:tc>
          <w:tcPr>
            <w:tcW w:w="2822"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Molise</w:t>
            </w:r>
          </w:p>
        </w:tc>
        <w:tc>
          <w:tcPr>
            <w:tcW w:w="2821" w:type="dxa"/>
            <w:vAlign w:val="center"/>
          </w:tcPr>
          <w:p w:rsidR="00575691" w:rsidRPr="003D3270" w:rsidRDefault="00575691" w:rsidP="00CD4EBB">
            <w:pPr>
              <w:jc w:val="center"/>
              <w:rPr>
                <w:rFonts w:asciiTheme="minorHAnsi" w:hAnsiTheme="minorHAnsi" w:cstheme="minorHAnsi"/>
                <w:sz w:val="20"/>
              </w:rPr>
            </w:pPr>
            <w:r w:rsidRPr="003D3270">
              <w:rPr>
                <w:rFonts w:asciiTheme="minorHAnsi" w:hAnsiTheme="minorHAnsi" w:cstheme="minorHAnsi"/>
                <w:sz w:val="20"/>
              </w:rPr>
              <w:t>-</w:t>
            </w:r>
            <w:r w:rsidR="00CD4EBB" w:rsidRPr="003D3270">
              <w:rPr>
                <w:rFonts w:asciiTheme="minorHAnsi" w:hAnsiTheme="minorHAnsi" w:cstheme="minorHAnsi"/>
                <w:sz w:val="20"/>
              </w:rPr>
              <w:t>6</w:t>
            </w:r>
            <w:r w:rsidRPr="003D3270">
              <w:rPr>
                <w:rFonts w:asciiTheme="minorHAnsi" w:hAnsiTheme="minorHAnsi" w:cstheme="minorHAnsi"/>
                <w:sz w:val="20"/>
              </w:rPr>
              <w:t>,</w:t>
            </w:r>
            <w:r w:rsidR="00CD4EBB" w:rsidRPr="003D3270">
              <w:rPr>
                <w:rFonts w:asciiTheme="minorHAnsi" w:hAnsiTheme="minorHAnsi" w:cstheme="minorHAnsi"/>
                <w:sz w:val="20"/>
              </w:rPr>
              <w:t>1</w:t>
            </w:r>
            <w:r w:rsidRPr="003D3270">
              <w:rPr>
                <w:rFonts w:asciiTheme="minorHAnsi" w:hAnsiTheme="minorHAnsi" w:cstheme="minorHAnsi"/>
                <w:sz w:val="20"/>
              </w:rPr>
              <w:t>%</w:t>
            </w:r>
          </w:p>
        </w:tc>
        <w:tc>
          <w:tcPr>
            <w:tcW w:w="2822"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Piemonte</w:t>
            </w:r>
          </w:p>
        </w:tc>
        <w:tc>
          <w:tcPr>
            <w:tcW w:w="2821"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c>
          <w:tcPr>
            <w:tcW w:w="2822" w:type="dxa"/>
            <w:vAlign w:val="center"/>
          </w:tcPr>
          <w:p w:rsidR="00575691" w:rsidRPr="003D3270" w:rsidRDefault="00575691" w:rsidP="00CD4EBB">
            <w:pPr>
              <w:jc w:val="center"/>
              <w:rPr>
                <w:rFonts w:asciiTheme="minorHAnsi" w:hAnsiTheme="minorHAnsi" w:cstheme="minorHAnsi"/>
                <w:sz w:val="20"/>
              </w:rPr>
            </w:pPr>
            <w:r w:rsidRPr="003D3270">
              <w:rPr>
                <w:rFonts w:asciiTheme="minorHAnsi" w:hAnsiTheme="minorHAnsi" w:cstheme="minorHAnsi"/>
                <w:sz w:val="20"/>
              </w:rPr>
              <w:t>-</w:t>
            </w:r>
            <w:r w:rsidR="00CD4EBB" w:rsidRPr="003D3270">
              <w:rPr>
                <w:rFonts w:asciiTheme="minorHAnsi" w:hAnsiTheme="minorHAnsi" w:cstheme="minorHAnsi"/>
                <w:sz w:val="20"/>
              </w:rPr>
              <w:t>4</w:t>
            </w:r>
            <w:r w:rsidRPr="003D3270">
              <w:rPr>
                <w:rFonts w:asciiTheme="minorHAnsi" w:hAnsiTheme="minorHAnsi" w:cstheme="minorHAnsi"/>
                <w:sz w:val="20"/>
              </w:rPr>
              <w:t>,</w:t>
            </w:r>
            <w:r w:rsidR="00CD4EBB" w:rsidRPr="003D3270">
              <w:rPr>
                <w:rFonts w:asciiTheme="minorHAnsi" w:hAnsiTheme="minorHAnsi" w:cstheme="minorHAnsi"/>
                <w:sz w:val="20"/>
              </w:rPr>
              <w:t>2</w:t>
            </w:r>
            <w:r w:rsidRPr="003D3270">
              <w:rPr>
                <w:rFonts w:asciiTheme="minorHAnsi" w:hAnsiTheme="minorHAnsi" w:cstheme="minorHAnsi"/>
                <w:sz w:val="20"/>
              </w:rPr>
              <w:t>%</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Puglia</w:t>
            </w:r>
          </w:p>
        </w:tc>
        <w:tc>
          <w:tcPr>
            <w:tcW w:w="2821" w:type="dxa"/>
            <w:vAlign w:val="center"/>
          </w:tcPr>
          <w:p w:rsidR="00575691" w:rsidRPr="003D3270" w:rsidRDefault="00575691" w:rsidP="00CD4EBB">
            <w:pPr>
              <w:jc w:val="center"/>
              <w:rPr>
                <w:rFonts w:asciiTheme="minorHAnsi" w:hAnsiTheme="minorHAnsi" w:cstheme="minorHAnsi"/>
                <w:sz w:val="20"/>
              </w:rPr>
            </w:pPr>
            <w:r w:rsidRPr="003D3270">
              <w:rPr>
                <w:rFonts w:asciiTheme="minorHAnsi" w:hAnsiTheme="minorHAnsi" w:cstheme="minorHAnsi"/>
                <w:sz w:val="20"/>
              </w:rPr>
              <w:t>-</w:t>
            </w:r>
            <w:r w:rsidR="00CD4EBB" w:rsidRPr="003D3270">
              <w:rPr>
                <w:rFonts w:asciiTheme="minorHAnsi" w:hAnsiTheme="minorHAnsi" w:cstheme="minorHAnsi"/>
                <w:sz w:val="20"/>
              </w:rPr>
              <w:t>3</w:t>
            </w:r>
            <w:r w:rsidRPr="003D3270">
              <w:rPr>
                <w:rFonts w:asciiTheme="minorHAnsi" w:hAnsiTheme="minorHAnsi" w:cstheme="minorHAnsi"/>
                <w:sz w:val="20"/>
              </w:rPr>
              <w:t>,6%</w:t>
            </w:r>
          </w:p>
        </w:tc>
        <w:tc>
          <w:tcPr>
            <w:tcW w:w="2822"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Sardegna</w:t>
            </w:r>
          </w:p>
        </w:tc>
        <w:tc>
          <w:tcPr>
            <w:tcW w:w="2821" w:type="dxa"/>
            <w:vAlign w:val="center"/>
          </w:tcPr>
          <w:p w:rsidR="00575691" w:rsidRPr="003D3270" w:rsidRDefault="00CD4EBB" w:rsidP="00575691">
            <w:pPr>
              <w:jc w:val="center"/>
              <w:rPr>
                <w:rFonts w:asciiTheme="minorHAnsi" w:hAnsiTheme="minorHAnsi" w:cstheme="minorHAnsi"/>
                <w:sz w:val="20"/>
              </w:rPr>
            </w:pPr>
            <w:r w:rsidRPr="003D3270">
              <w:rPr>
                <w:rFonts w:asciiTheme="minorHAnsi" w:hAnsiTheme="minorHAnsi" w:cstheme="minorHAnsi"/>
                <w:sz w:val="20"/>
              </w:rPr>
              <w:t>-5,3%</w:t>
            </w:r>
          </w:p>
        </w:tc>
        <w:tc>
          <w:tcPr>
            <w:tcW w:w="2822"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Sicilia</w:t>
            </w:r>
          </w:p>
        </w:tc>
        <w:tc>
          <w:tcPr>
            <w:tcW w:w="2821" w:type="dxa"/>
            <w:vAlign w:val="center"/>
          </w:tcPr>
          <w:p w:rsidR="00575691" w:rsidRPr="003D3270" w:rsidRDefault="00CD4EBB" w:rsidP="00CD4EBB">
            <w:pPr>
              <w:jc w:val="center"/>
              <w:rPr>
                <w:rFonts w:asciiTheme="minorHAnsi" w:hAnsiTheme="minorHAnsi" w:cstheme="minorHAnsi"/>
                <w:sz w:val="20"/>
              </w:rPr>
            </w:pPr>
            <w:r w:rsidRPr="003D3270">
              <w:rPr>
                <w:rFonts w:asciiTheme="minorHAnsi" w:hAnsiTheme="minorHAnsi" w:cstheme="minorHAnsi"/>
                <w:sz w:val="20"/>
              </w:rPr>
              <w:t>-4</w:t>
            </w:r>
            <w:r w:rsidR="00575691" w:rsidRPr="003D3270">
              <w:rPr>
                <w:rFonts w:asciiTheme="minorHAnsi" w:hAnsiTheme="minorHAnsi" w:cstheme="minorHAnsi"/>
                <w:sz w:val="20"/>
              </w:rPr>
              <w:t>,</w:t>
            </w:r>
            <w:r w:rsidRPr="003D3270">
              <w:rPr>
                <w:rFonts w:asciiTheme="minorHAnsi" w:hAnsiTheme="minorHAnsi" w:cstheme="minorHAnsi"/>
                <w:sz w:val="20"/>
              </w:rPr>
              <w:t>8</w:t>
            </w:r>
            <w:r w:rsidR="00575691" w:rsidRPr="003D3270">
              <w:rPr>
                <w:rFonts w:asciiTheme="minorHAnsi" w:hAnsiTheme="minorHAnsi" w:cstheme="minorHAnsi"/>
                <w:sz w:val="20"/>
              </w:rPr>
              <w:t>%</w:t>
            </w:r>
          </w:p>
        </w:tc>
        <w:tc>
          <w:tcPr>
            <w:tcW w:w="2822"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Toscana</w:t>
            </w:r>
          </w:p>
        </w:tc>
        <w:tc>
          <w:tcPr>
            <w:tcW w:w="2821" w:type="dxa"/>
            <w:vAlign w:val="center"/>
          </w:tcPr>
          <w:p w:rsidR="00575691" w:rsidRPr="003D3270" w:rsidRDefault="00575691" w:rsidP="00CD4EBB">
            <w:pPr>
              <w:jc w:val="center"/>
              <w:rPr>
                <w:rFonts w:asciiTheme="minorHAnsi" w:hAnsiTheme="minorHAnsi" w:cstheme="minorHAnsi"/>
                <w:sz w:val="20"/>
              </w:rPr>
            </w:pPr>
            <w:r w:rsidRPr="003D3270">
              <w:rPr>
                <w:rFonts w:asciiTheme="minorHAnsi" w:hAnsiTheme="minorHAnsi" w:cstheme="minorHAnsi"/>
                <w:sz w:val="20"/>
              </w:rPr>
              <w:t>-</w:t>
            </w:r>
            <w:r w:rsidR="00CD4EBB" w:rsidRPr="003D3270">
              <w:rPr>
                <w:rFonts w:asciiTheme="minorHAnsi" w:hAnsiTheme="minorHAnsi" w:cstheme="minorHAnsi"/>
                <w:sz w:val="20"/>
              </w:rPr>
              <w:t>5</w:t>
            </w:r>
            <w:r w:rsidRPr="003D3270">
              <w:rPr>
                <w:rFonts w:asciiTheme="minorHAnsi" w:hAnsiTheme="minorHAnsi" w:cstheme="minorHAnsi"/>
                <w:sz w:val="20"/>
              </w:rPr>
              <w:t>,</w:t>
            </w:r>
            <w:r w:rsidR="00CD4EBB" w:rsidRPr="003D3270">
              <w:rPr>
                <w:rFonts w:asciiTheme="minorHAnsi" w:hAnsiTheme="minorHAnsi" w:cstheme="minorHAnsi"/>
                <w:sz w:val="20"/>
              </w:rPr>
              <w:t>2</w:t>
            </w:r>
            <w:r w:rsidRPr="003D3270">
              <w:rPr>
                <w:rFonts w:asciiTheme="minorHAnsi" w:hAnsiTheme="minorHAnsi" w:cstheme="minorHAnsi"/>
                <w:sz w:val="20"/>
              </w:rPr>
              <w:t>%</w:t>
            </w:r>
          </w:p>
        </w:tc>
        <w:tc>
          <w:tcPr>
            <w:tcW w:w="2822"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Trentino Alto-Adige</w:t>
            </w:r>
          </w:p>
        </w:tc>
        <w:tc>
          <w:tcPr>
            <w:tcW w:w="2821"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c>
          <w:tcPr>
            <w:tcW w:w="2822" w:type="dxa"/>
            <w:vAlign w:val="center"/>
          </w:tcPr>
          <w:p w:rsidR="00575691" w:rsidRPr="003D3270" w:rsidRDefault="00575691" w:rsidP="00CD4EBB">
            <w:pPr>
              <w:jc w:val="center"/>
              <w:rPr>
                <w:rFonts w:asciiTheme="minorHAnsi" w:hAnsiTheme="minorHAnsi" w:cstheme="minorHAnsi"/>
                <w:sz w:val="20"/>
              </w:rPr>
            </w:pPr>
            <w:r w:rsidRPr="003D3270">
              <w:rPr>
                <w:rFonts w:asciiTheme="minorHAnsi" w:hAnsiTheme="minorHAnsi" w:cstheme="minorHAnsi"/>
                <w:sz w:val="20"/>
              </w:rPr>
              <w:t>-3,</w:t>
            </w:r>
            <w:r w:rsidR="00CD4EBB" w:rsidRPr="003D3270">
              <w:rPr>
                <w:rFonts w:asciiTheme="minorHAnsi" w:hAnsiTheme="minorHAnsi" w:cstheme="minorHAnsi"/>
                <w:sz w:val="20"/>
              </w:rPr>
              <w:t>6</w:t>
            </w:r>
            <w:r w:rsidRPr="003D3270">
              <w:rPr>
                <w:rFonts w:asciiTheme="minorHAnsi" w:hAnsiTheme="minorHAnsi" w:cstheme="minorHAnsi"/>
                <w:sz w:val="20"/>
              </w:rPr>
              <w:t>%</w:t>
            </w:r>
          </w:p>
        </w:tc>
      </w:tr>
      <w:tr w:rsidR="0081339A" w:rsidRPr="003D3270" w:rsidTr="00575691">
        <w:trPr>
          <w:trHeight w:val="283"/>
          <w:jc w:val="center"/>
        </w:trPr>
        <w:tc>
          <w:tcPr>
            <w:tcW w:w="2717" w:type="dxa"/>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Umbria</w:t>
            </w:r>
          </w:p>
        </w:tc>
        <w:tc>
          <w:tcPr>
            <w:tcW w:w="2821" w:type="dxa"/>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c>
          <w:tcPr>
            <w:tcW w:w="2822" w:type="dxa"/>
            <w:vAlign w:val="center"/>
          </w:tcPr>
          <w:p w:rsidR="00575691" w:rsidRPr="003D3270" w:rsidRDefault="00CD4EBB" w:rsidP="00CD4EBB">
            <w:pPr>
              <w:jc w:val="center"/>
              <w:rPr>
                <w:rFonts w:asciiTheme="minorHAnsi" w:hAnsiTheme="minorHAnsi" w:cstheme="minorHAnsi"/>
                <w:sz w:val="20"/>
              </w:rPr>
            </w:pPr>
            <w:r w:rsidRPr="003D3270">
              <w:rPr>
                <w:rFonts w:asciiTheme="minorHAnsi" w:hAnsiTheme="minorHAnsi" w:cstheme="minorHAnsi"/>
                <w:sz w:val="20"/>
              </w:rPr>
              <w:t>-0</w:t>
            </w:r>
            <w:r w:rsidR="00575691" w:rsidRPr="003D3270">
              <w:rPr>
                <w:rFonts w:asciiTheme="minorHAnsi" w:hAnsiTheme="minorHAnsi" w:cstheme="minorHAnsi"/>
                <w:sz w:val="20"/>
              </w:rPr>
              <w:t>,</w:t>
            </w:r>
            <w:r w:rsidRPr="003D3270">
              <w:rPr>
                <w:rFonts w:asciiTheme="minorHAnsi" w:hAnsiTheme="minorHAnsi" w:cstheme="minorHAnsi"/>
                <w:sz w:val="20"/>
              </w:rPr>
              <w:t>6</w:t>
            </w:r>
            <w:r w:rsidR="00575691" w:rsidRPr="003D3270">
              <w:rPr>
                <w:rFonts w:asciiTheme="minorHAnsi" w:hAnsiTheme="minorHAnsi" w:cstheme="minorHAnsi"/>
                <w:sz w:val="20"/>
              </w:rPr>
              <w:t>%</w:t>
            </w:r>
          </w:p>
        </w:tc>
      </w:tr>
      <w:tr w:rsidR="0081339A" w:rsidRPr="003D3270" w:rsidTr="00575691">
        <w:trPr>
          <w:trHeight w:val="283"/>
          <w:jc w:val="center"/>
        </w:trPr>
        <w:tc>
          <w:tcPr>
            <w:tcW w:w="2717" w:type="dxa"/>
            <w:tcBorders>
              <w:bottom w:val="nil"/>
            </w:tcBorders>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Valle d'Aosta</w:t>
            </w:r>
          </w:p>
        </w:tc>
        <w:tc>
          <w:tcPr>
            <w:tcW w:w="2821" w:type="dxa"/>
            <w:tcBorders>
              <w:bottom w:val="nil"/>
            </w:tcBorders>
            <w:vAlign w:val="center"/>
          </w:tcPr>
          <w:p w:rsidR="00575691" w:rsidRPr="003D3270" w:rsidRDefault="00575691" w:rsidP="00575691">
            <w:pPr>
              <w:jc w:val="center"/>
              <w:rPr>
                <w:rFonts w:asciiTheme="minorHAnsi" w:hAnsiTheme="minorHAnsi" w:cstheme="minorHAnsi"/>
                <w:sz w:val="20"/>
              </w:rPr>
            </w:pPr>
            <w:r w:rsidRPr="003D3270">
              <w:rPr>
                <w:rFonts w:asciiTheme="minorHAnsi" w:hAnsiTheme="minorHAnsi" w:cstheme="minorHAnsi"/>
                <w:sz w:val="20"/>
              </w:rPr>
              <w:t>n.d.</w:t>
            </w:r>
          </w:p>
        </w:tc>
        <w:tc>
          <w:tcPr>
            <w:tcW w:w="2822" w:type="dxa"/>
            <w:tcBorders>
              <w:bottom w:val="nil"/>
            </w:tcBorders>
            <w:vAlign w:val="center"/>
          </w:tcPr>
          <w:p w:rsidR="00575691" w:rsidRPr="003D3270" w:rsidRDefault="00CD4EBB" w:rsidP="00CD4EBB">
            <w:pPr>
              <w:jc w:val="center"/>
              <w:rPr>
                <w:rFonts w:asciiTheme="minorHAnsi" w:hAnsiTheme="minorHAnsi" w:cstheme="minorHAnsi"/>
                <w:sz w:val="20"/>
              </w:rPr>
            </w:pPr>
            <w:r w:rsidRPr="003D3270">
              <w:rPr>
                <w:rFonts w:asciiTheme="minorHAnsi" w:hAnsiTheme="minorHAnsi" w:cstheme="minorHAnsi"/>
                <w:sz w:val="20"/>
              </w:rPr>
              <w:t>-5</w:t>
            </w:r>
            <w:r w:rsidR="00575691" w:rsidRPr="003D3270">
              <w:rPr>
                <w:rFonts w:asciiTheme="minorHAnsi" w:hAnsiTheme="minorHAnsi" w:cstheme="minorHAnsi"/>
                <w:sz w:val="20"/>
              </w:rPr>
              <w:t>,</w:t>
            </w:r>
            <w:r w:rsidRPr="003D3270">
              <w:rPr>
                <w:rFonts w:asciiTheme="minorHAnsi" w:hAnsiTheme="minorHAnsi" w:cstheme="minorHAnsi"/>
                <w:sz w:val="20"/>
              </w:rPr>
              <w:t>3</w:t>
            </w:r>
            <w:r w:rsidR="00575691" w:rsidRPr="003D3270">
              <w:rPr>
                <w:rFonts w:asciiTheme="minorHAnsi" w:hAnsiTheme="minorHAnsi" w:cstheme="minorHAnsi"/>
                <w:sz w:val="20"/>
              </w:rPr>
              <w:t>%</w:t>
            </w:r>
          </w:p>
        </w:tc>
      </w:tr>
      <w:tr w:rsidR="0081339A" w:rsidRPr="003D3270" w:rsidTr="00575691">
        <w:trPr>
          <w:trHeight w:val="283"/>
          <w:jc w:val="center"/>
        </w:trPr>
        <w:tc>
          <w:tcPr>
            <w:tcW w:w="2717" w:type="dxa"/>
            <w:tcBorders>
              <w:top w:val="nil"/>
              <w:bottom w:val="single" w:sz="8" w:space="0" w:color="auto"/>
            </w:tcBorders>
            <w:vAlign w:val="center"/>
          </w:tcPr>
          <w:p w:rsidR="00575691" w:rsidRPr="003D3270" w:rsidRDefault="00575691" w:rsidP="00575691">
            <w:pPr>
              <w:rPr>
                <w:rFonts w:asciiTheme="minorHAnsi" w:hAnsiTheme="minorHAnsi" w:cstheme="minorHAnsi"/>
                <w:sz w:val="20"/>
              </w:rPr>
            </w:pPr>
            <w:r w:rsidRPr="003D3270">
              <w:rPr>
                <w:rFonts w:asciiTheme="minorHAnsi" w:hAnsiTheme="minorHAnsi" w:cstheme="minorHAnsi"/>
                <w:sz w:val="20"/>
              </w:rPr>
              <w:t>Veneto</w:t>
            </w:r>
          </w:p>
        </w:tc>
        <w:tc>
          <w:tcPr>
            <w:tcW w:w="2821" w:type="dxa"/>
            <w:tcBorders>
              <w:top w:val="nil"/>
              <w:bottom w:val="single" w:sz="8" w:space="0" w:color="auto"/>
            </w:tcBorders>
            <w:vAlign w:val="center"/>
          </w:tcPr>
          <w:p w:rsidR="00575691" w:rsidRPr="003D3270" w:rsidRDefault="00CD4EBB" w:rsidP="00CD4EBB">
            <w:pPr>
              <w:jc w:val="center"/>
              <w:rPr>
                <w:rFonts w:asciiTheme="minorHAnsi" w:hAnsiTheme="minorHAnsi" w:cstheme="minorHAnsi"/>
                <w:sz w:val="20"/>
              </w:rPr>
            </w:pPr>
            <w:r w:rsidRPr="003D3270">
              <w:rPr>
                <w:rFonts w:asciiTheme="minorHAnsi" w:hAnsiTheme="minorHAnsi" w:cstheme="minorHAnsi"/>
                <w:sz w:val="20"/>
              </w:rPr>
              <w:t>-5</w:t>
            </w:r>
            <w:r w:rsidR="00575691" w:rsidRPr="003D3270">
              <w:rPr>
                <w:rFonts w:asciiTheme="minorHAnsi" w:hAnsiTheme="minorHAnsi" w:cstheme="minorHAnsi"/>
                <w:sz w:val="20"/>
              </w:rPr>
              <w:t>,</w:t>
            </w:r>
            <w:r w:rsidRPr="003D3270">
              <w:rPr>
                <w:rFonts w:asciiTheme="minorHAnsi" w:hAnsiTheme="minorHAnsi" w:cstheme="minorHAnsi"/>
                <w:sz w:val="20"/>
              </w:rPr>
              <w:t>1</w:t>
            </w:r>
            <w:r w:rsidR="00575691" w:rsidRPr="003D3270">
              <w:rPr>
                <w:rFonts w:asciiTheme="minorHAnsi" w:hAnsiTheme="minorHAnsi" w:cstheme="minorHAnsi"/>
                <w:sz w:val="20"/>
              </w:rPr>
              <w:t>%</w:t>
            </w:r>
          </w:p>
        </w:tc>
        <w:tc>
          <w:tcPr>
            <w:tcW w:w="2822" w:type="dxa"/>
            <w:tcBorders>
              <w:top w:val="nil"/>
              <w:bottom w:val="single" w:sz="8" w:space="0" w:color="auto"/>
            </w:tcBorders>
            <w:vAlign w:val="center"/>
          </w:tcPr>
          <w:p w:rsidR="00575691" w:rsidRPr="003D3270" w:rsidRDefault="00CD4EBB" w:rsidP="00CD4EBB">
            <w:pPr>
              <w:jc w:val="center"/>
              <w:rPr>
                <w:rFonts w:asciiTheme="minorHAnsi" w:hAnsiTheme="minorHAnsi" w:cstheme="minorHAnsi"/>
                <w:sz w:val="20"/>
              </w:rPr>
            </w:pPr>
            <w:r w:rsidRPr="003D3270">
              <w:rPr>
                <w:rFonts w:asciiTheme="minorHAnsi" w:hAnsiTheme="minorHAnsi" w:cstheme="minorHAnsi"/>
                <w:sz w:val="20"/>
              </w:rPr>
              <w:t>-5</w:t>
            </w:r>
            <w:r w:rsidR="00575691" w:rsidRPr="003D3270">
              <w:rPr>
                <w:rFonts w:asciiTheme="minorHAnsi" w:hAnsiTheme="minorHAnsi" w:cstheme="minorHAnsi"/>
                <w:sz w:val="20"/>
              </w:rPr>
              <w:t>,</w:t>
            </w:r>
            <w:r w:rsidRPr="003D3270">
              <w:rPr>
                <w:rFonts w:asciiTheme="minorHAnsi" w:hAnsiTheme="minorHAnsi" w:cstheme="minorHAnsi"/>
                <w:sz w:val="20"/>
              </w:rPr>
              <w:t>6</w:t>
            </w:r>
            <w:r w:rsidR="00575691" w:rsidRPr="003D3270">
              <w:rPr>
                <w:rFonts w:asciiTheme="minorHAnsi" w:hAnsiTheme="minorHAnsi" w:cstheme="minorHAnsi"/>
                <w:sz w:val="20"/>
              </w:rPr>
              <w:t>%</w:t>
            </w:r>
          </w:p>
        </w:tc>
      </w:tr>
    </w:tbl>
    <w:p w:rsidR="005025ED" w:rsidRPr="003D3270" w:rsidRDefault="005025ED" w:rsidP="005025ED">
      <w:pPr>
        <w:spacing w:before="60"/>
        <w:ind w:firstLine="708"/>
        <w:rPr>
          <w:rFonts w:asciiTheme="minorHAnsi" w:eastAsia="Calibri" w:hAnsiTheme="minorHAnsi" w:cstheme="minorHAnsi"/>
          <w:sz w:val="18"/>
        </w:rPr>
      </w:pPr>
      <w:r w:rsidRPr="003D3270">
        <w:rPr>
          <w:rFonts w:asciiTheme="minorHAnsi" w:eastAsia="Calibri" w:hAnsiTheme="minorHAnsi" w:cstheme="minorHAnsi"/>
          <w:sz w:val="18"/>
        </w:rPr>
        <w:t>Fonte: Nomisma e Fimaa-Confcommercio</w:t>
      </w:r>
    </w:p>
    <w:p w:rsidR="00575691" w:rsidRPr="003D3270" w:rsidRDefault="00575691" w:rsidP="00575691">
      <w:pPr>
        <w:spacing w:before="120"/>
        <w:jc w:val="left"/>
        <w:rPr>
          <w:rFonts w:ascii="Calibri" w:hAnsi="Calibri" w:cs="Arial"/>
          <w:bCs/>
          <w:szCs w:val="22"/>
        </w:rPr>
      </w:pPr>
      <w:r w:rsidRPr="003D3270">
        <w:rPr>
          <w:rFonts w:ascii="Calibri" w:hAnsi="Calibri" w:cs="Arial"/>
          <w:bCs/>
          <w:szCs w:val="22"/>
        </w:rPr>
        <w:br w:type="page"/>
      </w:r>
    </w:p>
    <w:p w:rsidR="00F335F2" w:rsidRDefault="00F335F2" w:rsidP="00575691">
      <w:pPr>
        <w:jc w:val="right"/>
        <w:rPr>
          <w:rFonts w:ascii="Calibri" w:hAnsi="Calibri" w:cs="Arial"/>
          <w:b/>
          <w:bCs/>
          <w:color w:val="000000"/>
          <w:sz w:val="22"/>
          <w:szCs w:val="22"/>
        </w:rPr>
      </w:pPr>
    </w:p>
    <w:p w:rsidR="00575691" w:rsidRPr="003D3270" w:rsidRDefault="00575691" w:rsidP="007469F5">
      <w:pPr>
        <w:jc w:val="center"/>
        <w:rPr>
          <w:rFonts w:ascii="Calibri" w:hAnsi="Calibri" w:cs="Arial"/>
          <w:b/>
          <w:bCs/>
          <w:sz w:val="22"/>
          <w:szCs w:val="22"/>
        </w:rPr>
      </w:pPr>
      <w:r w:rsidRPr="003D3270">
        <w:rPr>
          <w:rFonts w:ascii="Calibri" w:hAnsi="Calibri" w:cs="Arial"/>
          <w:b/>
          <w:bCs/>
          <w:sz w:val="22"/>
          <w:szCs w:val="22"/>
        </w:rPr>
        <w:t xml:space="preserve">Tavola </w:t>
      </w:r>
      <w:r w:rsidR="00915F00" w:rsidRPr="003D3270">
        <w:rPr>
          <w:rFonts w:ascii="Calibri" w:hAnsi="Calibri" w:cs="Arial"/>
          <w:b/>
          <w:bCs/>
          <w:sz w:val="22"/>
          <w:szCs w:val="22"/>
        </w:rPr>
        <w:t>C</w:t>
      </w:r>
    </w:p>
    <w:p w:rsidR="000251ED" w:rsidRPr="003D3270" w:rsidRDefault="000251ED" w:rsidP="000251ED">
      <w:pPr>
        <w:jc w:val="center"/>
        <w:rPr>
          <w:rFonts w:ascii="Calibri" w:hAnsi="Calibri" w:cs="Arial"/>
          <w:b/>
          <w:bCs/>
          <w:sz w:val="22"/>
          <w:szCs w:val="22"/>
        </w:rPr>
      </w:pPr>
    </w:p>
    <w:p w:rsidR="00E80022" w:rsidRPr="003D3270" w:rsidRDefault="002F6F6E" w:rsidP="000251ED">
      <w:pPr>
        <w:jc w:val="center"/>
        <w:rPr>
          <w:rFonts w:asciiTheme="minorHAnsi" w:hAnsiTheme="minorHAnsi" w:cstheme="minorHAnsi"/>
          <w:b/>
          <w:bCs/>
          <w:sz w:val="22"/>
          <w:szCs w:val="22"/>
        </w:rPr>
      </w:pPr>
      <w:r w:rsidRPr="003D3270">
        <w:rPr>
          <w:rFonts w:asciiTheme="minorHAnsi" w:hAnsiTheme="minorHAnsi" w:cstheme="minorHAnsi"/>
          <w:b/>
          <w:bCs/>
          <w:sz w:val="22"/>
          <w:szCs w:val="22"/>
        </w:rPr>
        <w:t>Prime 15 località per</w:t>
      </w:r>
      <w:r w:rsidR="000251ED" w:rsidRPr="003D3270">
        <w:rPr>
          <w:rFonts w:asciiTheme="minorHAnsi" w:hAnsiTheme="minorHAnsi" w:cstheme="minorHAnsi"/>
          <w:b/>
          <w:bCs/>
          <w:sz w:val="22"/>
          <w:szCs w:val="22"/>
        </w:rPr>
        <w:t xml:space="preserve"> prezzi massimi di compravendita di appartamenti top o nuovi</w:t>
      </w:r>
      <w:r w:rsidR="00E80022" w:rsidRPr="003D3270">
        <w:rPr>
          <w:rFonts w:asciiTheme="minorHAnsi" w:hAnsiTheme="minorHAnsi" w:cstheme="minorHAnsi"/>
          <w:b/>
          <w:bCs/>
          <w:sz w:val="22"/>
          <w:szCs w:val="22"/>
        </w:rPr>
        <w:t xml:space="preserve"> </w:t>
      </w:r>
    </w:p>
    <w:p w:rsidR="000251ED" w:rsidRPr="003D3270" w:rsidRDefault="000251ED" w:rsidP="000251ED">
      <w:pPr>
        <w:jc w:val="center"/>
        <w:rPr>
          <w:rFonts w:asciiTheme="minorHAnsi" w:hAnsiTheme="minorHAnsi" w:cstheme="minorHAnsi"/>
          <w:i/>
          <w:iCs/>
          <w:sz w:val="22"/>
          <w:szCs w:val="22"/>
        </w:rPr>
      </w:pPr>
      <w:r w:rsidRPr="003D3270">
        <w:rPr>
          <w:rFonts w:asciiTheme="minorHAnsi" w:hAnsiTheme="minorHAnsi" w:cstheme="minorHAnsi"/>
          <w:i/>
          <w:iCs/>
          <w:sz w:val="22"/>
          <w:szCs w:val="22"/>
        </w:rPr>
        <w:t>(</w:t>
      </w:r>
      <w:r w:rsidR="00856627" w:rsidRPr="003D3270">
        <w:rPr>
          <w:rFonts w:asciiTheme="minorHAnsi" w:hAnsiTheme="minorHAnsi" w:cstheme="minorHAnsi"/>
          <w:i/>
          <w:iCs/>
          <w:sz w:val="22"/>
          <w:szCs w:val="22"/>
        </w:rPr>
        <w:t>€/</w:t>
      </w:r>
      <w:r w:rsidRPr="003D3270">
        <w:rPr>
          <w:rFonts w:asciiTheme="minorHAnsi" w:hAnsiTheme="minorHAnsi" w:cstheme="minorHAnsi"/>
          <w:i/>
          <w:iCs/>
          <w:sz w:val="22"/>
          <w:szCs w:val="22"/>
        </w:rPr>
        <w:t>mq)</w:t>
      </w:r>
    </w:p>
    <w:p w:rsidR="00F910D0" w:rsidRPr="003D3270" w:rsidRDefault="00F910D0" w:rsidP="003B5CE0">
      <w:pPr>
        <w:jc w:val="center"/>
        <w:rPr>
          <w:rFonts w:asciiTheme="minorHAnsi" w:hAnsiTheme="minorHAnsi" w:cstheme="minorHAnsi"/>
          <w:iCs/>
          <w:sz w:val="22"/>
          <w:szCs w:val="22"/>
        </w:rPr>
      </w:pPr>
    </w:p>
    <w:tbl>
      <w:tblPr>
        <w:tblW w:w="0" w:type="auto"/>
        <w:jc w:val="center"/>
        <w:tblLayout w:type="fixed"/>
        <w:tblLook w:val="04A0" w:firstRow="1" w:lastRow="0" w:firstColumn="1" w:lastColumn="0" w:noHBand="0" w:noVBand="1"/>
      </w:tblPr>
      <w:tblGrid>
        <w:gridCol w:w="3189"/>
        <w:gridCol w:w="2126"/>
        <w:gridCol w:w="3045"/>
      </w:tblGrid>
      <w:tr w:rsidR="009D59AA" w:rsidRPr="003D3270" w:rsidTr="00F910D0">
        <w:trPr>
          <w:trHeight w:val="283"/>
          <w:jc w:val="center"/>
        </w:trPr>
        <w:tc>
          <w:tcPr>
            <w:tcW w:w="3189" w:type="dxa"/>
            <w:tcBorders>
              <w:top w:val="single" w:sz="8" w:space="0" w:color="auto"/>
              <w:left w:val="nil"/>
              <w:bottom w:val="single" w:sz="8" w:space="0" w:color="auto"/>
              <w:right w:val="nil"/>
            </w:tcBorders>
            <w:shd w:val="clear" w:color="auto" w:fill="D9D9D9" w:themeFill="background1" w:themeFillShade="D9"/>
            <w:vAlign w:val="center"/>
            <w:hideMark/>
          </w:tcPr>
          <w:p w:rsidR="00F910D0" w:rsidRPr="003D3270" w:rsidRDefault="00F910D0">
            <w:pPr>
              <w:autoSpaceDE w:val="0"/>
              <w:autoSpaceDN w:val="0"/>
              <w:adjustRightInd w:val="0"/>
              <w:spacing w:line="276" w:lineRule="auto"/>
              <w:jc w:val="left"/>
              <w:rPr>
                <w:rFonts w:asciiTheme="minorHAnsi" w:hAnsiTheme="minorHAnsi" w:cstheme="minorHAnsi"/>
                <w:sz w:val="20"/>
                <w:lang w:eastAsia="en-US"/>
              </w:rPr>
            </w:pPr>
            <w:r w:rsidRPr="003D3270">
              <w:rPr>
                <w:rFonts w:asciiTheme="minorHAnsi" w:hAnsiTheme="minorHAnsi" w:cstheme="minorHAnsi"/>
                <w:b/>
                <w:bCs/>
                <w:sz w:val="20"/>
                <w:lang w:eastAsia="en-US"/>
              </w:rPr>
              <w:t>Località</w:t>
            </w:r>
          </w:p>
        </w:tc>
        <w:tc>
          <w:tcPr>
            <w:tcW w:w="2126" w:type="dxa"/>
            <w:tcBorders>
              <w:top w:val="single" w:sz="8" w:space="0" w:color="auto"/>
              <w:left w:val="nil"/>
              <w:bottom w:val="single" w:sz="8" w:space="0" w:color="auto"/>
              <w:right w:val="nil"/>
            </w:tcBorders>
            <w:shd w:val="clear" w:color="auto" w:fill="D9D9D9" w:themeFill="background1" w:themeFillShade="D9"/>
            <w:vAlign w:val="center"/>
            <w:hideMark/>
          </w:tcPr>
          <w:p w:rsidR="00F910D0" w:rsidRPr="003D3270" w:rsidRDefault="00F910D0">
            <w:pPr>
              <w:autoSpaceDE w:val="0"/>
              <w:autoSpaceDN w:val="0"/>
              <w:adjustRightInd w:val="0"/>
              <w:spacing w:line="276" w:lineRule="auto"/>
              <w:jc w:val="center"/>
              <w:rPr>
                <w:rFonts w:asciiTheme="minorHAnsi" w:hAnsiTheme="minorHAnsi" w:cstheme="minorHAnsi"/>
                <w:sz w:val="20"/>
                <w:lang w:eastAsia="en-US"/>
              </w:rPr>
            </w:pPr>
            <w:r w:rsidRPr="003D3270">
              <w:rPr>
                <w:rFonts w:asciiTheme="minorHAnsi" w:hAnsiTheme="minorHAnsi" w:cstheme="minorHAnsi"/>
                <w:b/>
                <w:bCs/>
                <w:sz w:val="20"/>
                <w:lang w:eastAsia="en-US"/>
              </w:rPr>
              <w:t>Prezzi (€/mq)</w:t>
            </w:r>
          </w:p>
        </w:tc>
        <w:tc>
          <w:tcPr>
            <w:tcW w:w="3045" w:type="dxa"/>
            <w:tcBorders>
              <w:top w:val="single" w:sz="8" w:space="0" w:color="auto"/>
              <w:left w:val="nil"/>
              <w:bottom w:val="single" w:sz="8" w:space="0" w:color="auto"/>
              <w:right w:val="nil"/>
            </w:tcBorders>
            <w:shd w:val="clear" w:color="auto" w:fill="D9D9D9" w:themeFill="background1" w:themeFillShade="D9"/>
            <w:vAlign w:val="center"/>
            <w:hideMark/>
          </w:tcPr>
          <w:p w:rsidR="00F910D0" w:rsidRPr="003D3270" w:rsidRDefault="00F910D0">
            <w:pPr>
              <w:autoSpaceDE w:val="0"/>
              <w:autoSpaceDN w:val="0"/>
              <w:adjustRightInd w:val="0"/>
              <w:spacing w:line="276" w:lineRule="auto"/>
              <w:jc w:val="center"/>
              <w:rPr>
                <w:rFonts w:asciiTheme="minorHAnsi" w:hAnsiTheme="minorHAnsi" w:cstheme="minorHAnsi"/>
                <w:sz w:val="20"/>
                <w:lang w:eastAsia="en-US"/>
              </w:rPr>
            </w:pPr>
            <w:r w:rsidRPr="003D3270">
              <w:rPr>
                <w:rFonts w:asciiTheme="minorHAnsi" w:hAnsiTheme="minorHAnsi" w:cstheme="minorHAnsi"/>
                <w:b/>
                <w:bCs/>
                <w:sz w:val="20"/>
                <w:lang w:eastAsia="en-US"/>
              </w:rPr>
              <w:t xml:space="preserve">Movimento rispetto </w:t>
            </w:r>
            <w:r w:rsidR="00856627" w:rsidRPr="003D3270">
              <w:rPr>
                <w:rFonts w:asciiTheme="minorHAnsi" w:hAnsiTheme="minorHAnsi" w:cstheme="minorHAnsi"/>
                <w:b/>
                <w:bCs/>
                <w:sz w:val="20"/>
                <w:lang w:eastAsia="en-US"/>
              </w:rPr>
              <w:t>alla posizione occupata nel 2014</w:t>
            </w:r>
          </w:p>
        </w:tc>
      </w:tr>
      <w:tr w:rsidR="009D59AA" w:rsidRPr="003D3270" w:rsidTr="009D59AA">
        <w:trPr>
          <w:trHeight w:val="283"/>
          <w:jc w:val="center"/>
        </w:trPr>
        <w:tc>
          <w:tcPr>
            <w:tcW w:w="3189" w:type="dxa"/>
            <w:tcBorders>
              <w:top w:val="single" w:sz="8" w:space="0" w:color="auto"/>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1. Santa Margherita Ligure (GE)</w:t>
            </w:r>
          </w:p>
        </w:tc>
        <w:tc>
          <w:tcPr>
            <w:tcW w:w="2126" w:type="dxa"/>
            <w:tcBorders>
              <w:top w:val="single" w:sz="8" w:space="0" w:color="auto"/>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14.500</w:t>
            </w:r>
          </w:p>
        </w:tc>
        <w:tc>
          <w:tcPr>
            <w:tcW w:w="3045" w:type="dxa"/>
            <w:tcBorders>
              <w:top w:val="single" w:sz="8" w:space="0" w:color="auto"/>
              <w:left w:val="nil"/>
              <w:bottom w:val="nil"/>
              <w:right w:val="nil"/>
            </w:tcBorders>
            <w:vAlign w:val="center"/>
            <w:hideMark/>
          </w:tcPr>
          <w:p w:rsidR="009D59AA" w:rsidRPr="00FA77A6" w:rsidRDefault="007469F5">
            <w:pPr>
              <w:jc w:val="center"/>
              <w:rPr>
                <w:rFonts w:ascii="Calibri" w:hAnsi="Calibri" w:cs="Arial"/>
                <w:sz w:val="20"/>
              </w:rPr>
            </w:pPr>
            <w:r w:rsidRPr="00FA77A6">
              <w:rPr>
                <w:rFonts w:ascii="Calibri" w:hAnsi="Calibri" w:cs="Arial"/>
                <w:sz w:val="20"/>
              </w:rPr>
              <w:t>=</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2. Forte dei Marmi (LU)</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14.000</w:t>
            </w:r>
          </w:p>
        </w:tc>
        <w:tc>
          <w:tcPr>
            <w:tcW w:w="3045" w:type="dxa"/>
            <w:tcBorders>
              <w:top w:val="nil"/>
              <w:left w:val="nil"/>
              <w:bottom w:val="nil"/>
              <w:right w:val="nil"/>
            </w:tcBorders>
            <w:vAlign w:val="center"/>
            <w:hideMark/>
          </w:tcPr>
          <w:p w:rsidR="009D59AA" w:rsidRPr="00FA77A6" w:rsidRDefault="007469F5">
            <w:pPr>
              <w:jc w:val="center"/>
              <w:rPr>
                <w:rFonts w:ascii="Calibri" w:hAnsi="Calibri" w:cs="Arial"/>
                <w:sz w:val="20"/>
              </w:rPr>
            </w:pPr>
            <w:r w:rsidRPr="00FA77A6">
              <w:rPr>
                <w:rFonts w:ascii="Calibri" w:hAnsi="Calibri" w:cs="Arial"/>
                <w:sz w:val="20"/>
              </w:rPr>
              <w:t>=</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3. Capri (NA)</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13.500</w:t>
            </w:r>
          </w:p>
        </w:tc>
        <w:tc>
          <w:tcPr>
            <w:tcW w:w="3045" w:type="dxa"/>
            <w:tcBorders>
              <w:top w:val="nil"/>
              <w:left w:val="nil"/>
              <w:bottom w:val="nil"/>
              <w:right w:val="nil"/>
            </w:tcBorders>
            <w:vAlign w:val="center"/>
            <w:hideMark/>
          </w:tcPr>
          <w:p w:rsidR="009D59AA" w:rsidRPr="00FA77A6" w:rsidRDefault="007469F5">
            <w:pPr>
              <w:jc w:val="center"/>
              <w:rPr>
                <w:rFonts w:ascii="Calibri" w:hAnsi="Calibri" w:cs="Arial"/>
                <w:sz w:val="20"/>
              </w:rPr>
            </w:pPr>
            <w:r w:rsidRPr="00FA77A6">
              <w:rPr>
                <w:rFonts w:ascii="Calibri" w:hAnsi="Calibri" w:cs="Arial"/>
                <w:sz w:val="20"/>
              </w:rPr>
              <w:t>=</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4. Madonna di Campiglio (TN)</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12.700</w:t>
            </w:r>
          </w:p>
        </w:tc>
        <w:tc>
          <w:tcPr>
            <w:tcW w:w="3045" w:type="dxa"/>
            <w:tcBorders>
              <w:top w:val="nil"/>
              <w:left w:val="nil"/>
              <w:bottom w:val="nil"/>
              <w:right w:val="nil"/>
            </w:tcBorders>
            <w:vAlign w:val="center"/>
            <w:hideMark/>
          </w:tcPr>
          <w:p w:rsidR="009D59AA" w:rsidRPr="00FA77A6" w:rsidRDefault="007469F5">
            <w:pPr>
              <w:jc w:val="center"/>
              <w:rPr>
                <w:rFonts w:ascii="Calibri" w:hAnsi="Calibri" w:cs="Arial"/>
                <w:sz w:val="20"/>
              </w:rPr>
            </w:pPr>
            <w:r w:rsidRPr="00FA77A6">
              <w:rPr>
                <w:rFonts w:ascii="Calibri" w:hAnsi="Calibri" w:cs="Arial"/>
                <w:sz w:val="20"/>
              </w:rPr>
              <w:t>=</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5. Courmayeur (AO)</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11.400</w:t>
            </w:r>
          </w:p>
        </w:tc>
        <w:tc>
          <w:tcPr>
            <w:tcW w:w="3045" w:type="dxa"/>
            <w:tcBorders>
              <w:top w:val="nil"/>
              <w:left w:val="nil"/>
              <w:bottom w:val="nil"/>
              <w:right w:val="nil"/>
            </w:tcBorders>
            <w:vAlign w:val="center"/>
            <w:hideMark/>
          </w:tcPr>
          <w:p w:rsidR="009D59AA" w:rsidRPr="00FA77A6" w:rsidRDefault="007469F5">
            <w:pPr>
              <w:jc w:val="center"/>
              <w:rPr>
                <w:rFonts w:ascii="Calibri" w:hAnsi="Calibri" w:cs="Arial"/>
                <w:sz w:val="20"/>
              </w:rPr>
            </w:pPr>
            <w:r w:rsidRPr="00FA77A6">
              <w:rPr>
                <w:rFonts w:ascii="Calibri" w:hAnsi="Calibri" w:cs="Arial"/>
                <w:sz w:val="20"/>
              </w:rPr>
              <w:t>=</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6. Cortina D'Ampezzo (BL)</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11.000</w:t>
            </w:r>
          </w:p>
        </w:tc>
        <w:tc>
          <w:tcPr>
            <w:tcW w:w="3045" w:type="dxa"/>
            <w:tcBorders>
              <w:top w:val="nil"/>
              <w:left w:val="nil"/>
              <w:bottom w:val="nil"/>
              <w:right w:val="nil"/>
            </w:tcBorders>
            <w:vAlign w:val="center"/>
            <w:hideMark/>
          </w:tcPr>
          <w:p w:rsidR="009D59AA" w:rsidRPr="00FA77A6" w:rsidRDefault="007469F5">
            <w:pPr>
              <w:jc w:val="center"/>
              <w:rPr>
                <w:rFonts w:ascii="Calibri" w:hAnsi="Calibri" w:cs="Arial"/>
                <w:sz w:val="20"/>
              </w:rPr>
            </w:pPr>
            <w:r w:rsidRPr="00FA77A6">
              <w:rPr>
                <w:rFonts w:ascii="Calibri" w:hAnsi="Calibri" w:cs="Arial"/>
                <w:sz w:val="20"/>
              </w:rPr>
              <w:t>=</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7. Selva di Val Gardena (BZ)</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9.800</w:t>
            </w:r>
          </w:p>
        </w:tc>
        <w:tc>
          <w:tcPr>
            <w:tcW w:w="3045" w:type="dxa"/>
            <w:tcBorders>
              <w:top w:val="nil"/>
              <w:left w:val="nil"/>
              <w:bottom w:val="nil"/>
              <w:right w:val="nil"/>
            </w:tcBorders>
            <w:vAlign w:val="center"/>
            <w:hideMark/>
          </w:tcPr>
          <w:p w:rsidR="009D59AA" w:rsidRPr="00FA77A6" w:rsidRDefault="007469F5">
            <w:pPr>
              <w:jc w:val="center"/>
              <w:rPr>
                <w:rFonts w:ascii="Calibri" w:hAnsi="Calibri" w:cs="Arial"/>
                <w:sz w:val="20"/>
              </w:rPr>
            </w:pPr>
            <w:r w:rsidRPr="00FA77A6">
              <w:rPr>
                <w:rFonts w:ascii="Calibri" w:hAnsi="Calibri" w:cs="Arial"/>
                <w:sz w:val="20"/>
              </w:rPr>
              <w:t>=</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8. Porto Cervo (OT)</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9.600</w:t>
            </w:r>
          </w:p>
        </w:tc>
        <w:tc>
          <w:tcPr>
            <w:tcW w:w="3045" w:type="dxa"/>
            <w:tcBorders>
              <w:top w:val="nil"/>
              <w:left w:val="nil"/>
              <w:bottom w:val="nil"/>
              <w:right w:val="nil"/>
            </w:tcBorders>
            <w:vAlign w:val="center"/>
            <w:hideMark/>
          </w:tcPr>
          <w:p w:rsidR="009D59AA" w:rsidRPr="00FA77A6" w:rsidRDefault="007469F5">
            <w:pPr>
              <w:jc w:val="center"/>
              <w:rPr>
                <w:rFonts w:ascii="Calibri" w:hAnsi="Calibri" w:cs="Arial"/>
                <w:sz w:val="20"/>
              </w:rPr>
            </w:pPr>
            <w:r w:rsidRPr="00FA77A6">
              <w:rPr>
                <w:rFonts w:ascii="Calibri" w:hAnsi="Calibri" w:cs="Arial"/>
                <w:sz w:val="20"/>
              </w:rPr>
              <w:t>=</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9. Anacapri (NA)</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9.300</w:t>
            </w:r>
          </w:p>
        </w:tc>
        <w:tc>
          <w:tcPr>
            <w:tcW w:w="3045" w:type="dxa"/>
            <w:tcBorders>
              <w:top w:val="nil"/>
              <w:left w:val="nil"/>
              <w:bottom w:val="nil"/>
              <w:right w:val="nil"/>
            </w:tcBorders>
            <w:vAlign w:val="center"/>
            <w:hideMark/>
          </w:tcPr>
          <w:p w:rsidR="009D59AA" w:rsidRPr="00FA77A6" w:rsidRDefault="007469F5">
            <w:pPr>
              <w:jc w:val="center"/>
              <w:rPr>
                <w:rFonts w:ascii="Calibri" w:hAnsi="Calibri" w:cs="Arial"/>
                <w:sz w:val="20"/>
              </w:rPr>
            </w:pPr>
            <w:r w:rsidRPr="00FA77A6">
              <w:rPr>
                <w:rFonts w:ascii="Calibri" w:hAnsi="Calibri" w:cs="Arial"/>
                <w:sz w:val="20"/>
              </w:rPr>
              <w:t>=</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10. Porto Rotondo (OT)</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8.700</w:t>
            </w:r>
          </w:p>
        </w:tc>
        <w:tc>
          <w:tcPr>
            <w:tcW w:w="3045" w:type="dxa"/>
            <w:tcBorders>
              <w:top w:val="nil"/>
              <w:left w:val="nil"/>
              <w:bottom w:val="nil"/>
              <w:right w:val="nil"/>
            </w:tcBorders>
            <w:vAlign w:val="center"/>
            <w:hideMark/>
          </w:tcPr>
          <w:p w:rsidR="009D59AA" w:rsidRPr="00FA77A6" w:rsidRDefault="007469F5">
            <w:pPr>
              <w:jc w:val="center"/>
              <w:rPr>
                <w:rFonts w:ascii="Calibri" w:hAnsi="Calibri" w:cs="Arial"/>
                <w:sz w:val="20"/>
              </w:rPr>
            </w:pPr>
            <w:r w:rsidRPr="00FA77A6">
              <w:rPr>
                <w:rFonts w:ascii="Calibri" w:hAnsi="Calibri" w:cs="Arial"/>
                <w:sz w:val="20"/>
              </w:rPr>
              <w:t>=</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11. Sirmione (BS)</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8.500</w:t>
            </w:r>
          </w:p>
        </w:tc>
        <w:tc>
          <w:tcPr>
            <w:tcW w:w="3045" w:type="dxa"/>
            <w:tcBorders>
              <w:top w:val="nil"/>
              <w:left w:val="nil"/>
              <w:bottom w:val="nil"/>
              <w:right w:val="nil"/>
            </w:tcBorders>
            <w:vAlign w:val="center"/>
            <w:hideMark/>
          </w:tcPr>
          <w:p w:rsidR="009D59AA" w:rsidRPr="00FA77A6" w:rsidRDefault="00D67886" w:rsidP="00D67886">
            <w:pPr>
              <w:jc w:val="center"/>
              <w:rPr>
                <w:rFonts w:ascii="Calibri" w:hAnsi="Calibri" w:cs="Arial"/>
                <w:sz w:val="20"/>
              </w:rPr>
            </w:pPr>
            <w:r>
              <w:rPr>
                <w:rFonts w:ascii="Calibri" w:hAnsi="Calibri" w:cs="Arial"/>
                <w:sz w:val="20"/>
              </w:rPr>
              <w:t>n</w:t>
            </w:r>
            <w:r w:rsidR="007469F5" w:rsidRPr="00FA77A6">
              <w:rPr>
                <w:rFonts w:ascii="Calibri" w:hAnsi="Calibri" w:cs="Arial"/>
                <w:sz w:val="20"/>
              </w:rPr>
              <w:t>.</w:t>
            </w:r>
            <w:r>
              <w:rPr>
                <w:rFonts w:ascii="Calibri" w:hAnsi="Calibri" w:cs="Arial"/>
                <w:sz w:val="20"/>
              </w:rPr>
              <w:t>d</w:t>
            </w:r>
            <w:r w:rsidR="007469F5" w:rsidRPr="00FA77A6">
              <w:rPr>
                <w:rFonts w:ascii="Calibri" w:hAnsi="Calibri" w:cs="Arial"/>
                <w:sz w:val="20"/>
              </w:rPr>
              <w:t>.</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12. Corvara (BZ)</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8.400</w:t>
            </w:r>
          </w:p>
        </w:tc>
        <w:tc>
          <w:tcPr>
            <w:tcW w:w="3045" w:type="dxa"/>
            <w:tcBorders>
              <w:top w:val="nil"/>
              <w:left w:val="nil"/>
              <w:bottom w:val="nil"/>
              <w:right w:val="nil"/>
            </w:tcBorders>
            <w:vAlign w:val="center"/>
            <w:hideMark/>
          </w:tcPr>
          <w:p w:rsidR="009D59AA" w:rsidRPr="00FA77A6" w:rsidRDefault="009D59AA">
            <w:pPr>
              <w:jc w:val="center"/>
              <w:rPr>
                <w:rFonts w:ascii="Calibri" w:hAnsi="Calibri" w:cs="Arial"/>
                <w:sz w:val="20"/>
              </w:rPr>
            </w:pPr>
            <w:r w:rsidRPr="00FA77A6">
              <w:rPr>
                <w:rFonts w:ascii="Calibri" w:hAnsi="Calibri" w:cs="Arial"/>
                <w:sz w:val="20"/>
              </w:rPr>
              <w:t>-1</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13. Sestri Levante (GE)</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8.300</w:t>
            </w:r>
          </w:p>
        </w:tc>
        <w:tc>
          <w:tcPr>
            <w:tcW w:w="3045" w:type="dxa"/>
            <w:tcBorders>
              <w:top w:val="nil"/>
              <w:left w:val="nil"/>
              <w:bottom w:val="nil"/>
              <w:right w:val="nil"/>
            </w:tcBorders>
            <w:vAlign w:val="center"/>
            <w:hideMark/>
          </w:tcPr>
          <w:p w:rsidR="009D59AA" w:rsidRPr="00FA77A6" w:rsidRDefault="007469F5">
            <w:pPr>
              <w:jc w:val="center"/>
              <w:rPr>
                <w:rFonts w:ascii="Calibri" w:hAnsi="Calibri" w:cs="Arial"/>
                <w:sz w:val="20"/>
              </w:rPr>
            </w:pPr>
            <w:r w:rsidRPr="00FA77A6">
              <w:rPr>
                <w:rFonts w:ascii="Calibri" w:hAnsi="Calibri" w:cs="Arial"/>
                <w:sz w:val="20"/>
              </w:rPr>
              <w:t>+</w:t>
            </w:r>
            <w:r w:rsidR="009D59AA" w:rsidRPr="00FA77A6">
              <w:rPr>
                <w:rFonts w:ascii="Calibri" w:hAnsi="Calibri" w:cs="Arial"/>
                <w:sz w:val="20"/>
              </w:rPr>
              <w:t>1</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14. Alassio (SV)</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8.200</w:t>
            </w:r>
          </w:p>
        </w:tc>
        <w:tc>
          <w:tcPr>
            <w:tcW w:w="3045" w:type="dxa"/>
            <w:tcBorders>
              <w:top w:val="nil"/>
              <w:left w:val="nil"/>
              <w:bottom w:val="nil"/>
              <w:right w:val="nil"/>
            </w:tcBorders>
            <w:vAlign w:val="center"/>
            <w:hideMark/>
          </w:tcPr>
          <w:p w:rsidR="009D59AA" w:rsidRPr="00FA77A6" w:rsidRDefault="009D59AA">
            <w:pPr>
              <w:jc w:val="center"/>
              <w:rPr>
                <w:rFonts w:ascii="Calibri" w:hAnsi="Calibri" w:cs="Arial"/>
                <w:sz w:val="20"/>
              </w:rPr>
            </w:pPr>
            <w:r w:rsidRPr="00FA77A6">
              <w:rPr>
                <w:rFonts w:ascii="Calibri" w:hAnsi="Calibri" w:cs="Arial"/>
                <w:sz w:val="20"/>
              </w:rPr>
              <w:t>-2</w:t>
            </w:r>
          </w:p>
        </w:tc>
      </w:tr>
      <w:tr w:rsidR="009D59AA" w:rsidRPr="003D3270" w:rsidTr="009D59AA">
        <w:trPr>
          <w:trHeight w:val="283"/>
          <w:jc w:val="center"/>
        </w:trPr>
        <w:tc>
          <w:tcPr>
            <w:tcW w:w="3189" w:type="dxa"/>
            <w:tcBorders>
              <w:top w:val="nil"/>
              <w:left w:val="nil"/>
              <w:bottom w:val="nil"/>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14. Ortisei (BZ)</w:t>
            </w:r>
          </w:p>
        </w:tc>
        <w:tc>
          <w:tcPr>
            <w:tcW w:w="2126" w:type="dxa"/>
            <w:tcBorders>
              <w:top w:val="nil"/>
              <w:left w:val="nil"/>
              <w:bottom w:val="nil"/>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8.200</w:t>
            </w:r>
          </w:p>
        </w:tc>
        <w:tc>
          <w:tcPr>
            <w:tcW w:w="3045" w:type="dxa"/>
            <w:tcBorders>
              <w:top w:val="nil"/>
              <w:left w:val="nil"/>
              <w:bottom w:val="nil"/>
              <w:right w:val="nil"/>
            </w:tcBorders>
            <w:vAlign w:val="center"/>
            <w:hideMark/>
          </w:tcPr>
          <w:p w:rsidR="009D59AA" w:rsidRPr="00FA77A6" w:rsidRDefault="007469F5">
            <w:pPr>
              <w:jc w:val="center"/>
              <w:rPr>
                <w:rFonts w:ascii="Calibri" w:hAnsi="Calibri" w:cs="Arial"/>
                <w:sz w:val="20"/>
              </w:rPr>
            </w:pPr>
            <w:r w:rsidRPr="00FA77A6">
              <w:rPr>
                <w:rFonts w:ascii="Calibri" w:hAnsi="Calibri" w:cs="Arial"/>
                <w:sz w:val="20"/>
              </w:rPr>
              <w:t>+</w:t>
            </w:r>
            <w:r w:rsidR="009D59AA" w:rsidRPr="00FA77A6">
              <w:rPr>
                <w:rFonts w:ascii="Calibri" w:hAnsi="Calibri" w:cs="Arial"/>
                <w:sz w:val="20"/>
              </w:rPr>
              <w:t>1</w:t>
            </w:r>
          </w:p>
        </w:tc>
      </w:tr>
      <w:tr w:rsidR="009D59AA" w:rsidRPr="003D3270" w:rsidTr="009D59AA">
        <w:trPr>
          <w:trHeight w:val="283"/>
          <w:jc w:val="center"/>
        </w:trPr>
        <w:tc>
          <w:tcPr>
            <w:tcW w:w="3189" w:type="dxa"/>
            <w:tcBorders>
              <w:top w:val="nil"/>
              <w:left w:val="nil"/>
              <w:bottom w:val="single" w:sz="8" w:space="0" w:color="auto"/>
              <w:right w:val="nil"/>
            </w:tcBorders>
            <w:vAlign w:val="center"/>
            <w:hideMark/>
          </w:tcPr>
          <w:p w:rsidR="009D59AA" w:rsidRPr="003D3270" w:rsidRDefault="009D59AA" w:rsidP="009D59AA">
            <w:pPr>
              <w:jc w:val="left"/>
              <w:rPr>
                <w:rFonts w:ascii="Calibri" w:hAnsi="Calibri" w:cs="Arial"/>
                <w:sz w:val="20"/>
              </w:rPr>
            </w:pPr>
            <w:r w:rsidRPr="003D3270">
              <w:rPr>
                <w:rFonts w:ascii="Calibri" w:hAnsi="Calibri" w:cs="Arial"/>
                <w:sz w:val="20"/>
              </w:rPr>
              <w:t>14. Sorrento (NA)</w:t>
            </w:r>
          </w:p>
        </w:tc>
        <w:tc>
          <w:tcPr>
            <w:tcW w:w="2126" w:type="dxa"/>
            <w:tcBorders>
              <w:top w:val="nil"/>
              <w:left w:val="nil"/>
              <w:bottom w:val="single" w:sz="8" w:space="0" w:color="auto"/>
              <w:right w:val="nil"/>
            </w:tcBorders>
            <w:vAlign w:val="center"/>
          </w:tcPr>
          <w:p w:rsidR="009D59AA" w:rsidRPr="003D3270" w:rsidRDefault="009D59AA" w:rsidP="009D59AA">
            <w:pPr>
              <w:jc w:val="center"/>
              <w:rPr>
                <w:rFonts w:ascii="Calibri" w:hAnsi="Calibri" w:cs="Arial"/>
                <w:sz w:val="20"/>
              </w:rPr>
            </w:pPr>
            <w:r w:rsidRPr="003D3270">
              <w:rPr>
                <w:rFonts w:ascii="Calibri" w:hAnsi="Calibri" w:cs="Arial"/>
                <w:sz w:val="20"/>
              </w:rPr>
              <w:t>8.200</w:t>
            </w:r>
          </w:p>
        </w:tc>
        <w:tc>
          <w:tcPr>
            <w:tcW w:w="3045" w:type="dxa"/>
            <w:tcBorders>
              <w:top w:val="nil"/>
              <w:left w:val="nil"/>
              <w:bottom w:val="single" w:sz="8" w:space="0" w:color="auto"/>
              <w:right w:val="nil"/>
            </w:tcBorders>
            <w:vAlign w:val="center"/>
            <w:hideMark/>
          </w:tcPr>
          <w:p w:rsidR="009D59AA" w:rsidRPr="00FA77A6" w:rsidRDefault="009D59AA">
            <w:pPr>
              <w:jc w:val="center"/>
              <w:rPr>
                <w:rFonts w:ascii="Calibri" w:hAnsi="Calibri" w:cs="Arial"/>
                <w:sz w:val="20"/>
              </w:rPr>
            </w:pPr>
            <w:r w:rsidRPr="00FA77A6">
              <w:rPr>
                <w:rFonts w:ascii="Calibri" w:hAnsi="Calibri" w:cs="Arial"/>
                <w:sz w:val="20"/>
              </w:rPr>
              <w:t>-2</w:t>
            </w:r>
          </w:p>
        </w:tc>
      </w:tr>
    </w:tbl>
    <w:p w:rsidR="001A3468" w:rsidRPr="003D3270" w:rsidRDefault="001A3468" w:rsidP="001A3468">
      <w:pPr>
        <w:ind w:firstLine="708"/>
        <w:jc w:val="left"/>
        <w:rPr>
          <w:rFonts w:asciiTheme="minorHAnsi" w:eastAsia="Calibri" w:hAnsiTheme="minorHAnsi" w:cstheme="minorHAnsi"/>
          <w:sz w:val="2"/>
          <w:szCs w:val="2"/>
        </w:rPr>
      </w:pPr>
    </w:p>
    <w:p w:rsidR="00575691" w:rsidRPr="003D3270" w:rsidRDefault="001A3468" w:rsidP="009D59AA">
      <w:pPr>
        <w:spacing w:before="60"/>
        <w:ind w:firstLine="709"/>
        <w:jc w:val="left"/>
        <w:rPr>
          <w:rFonts w:asciiTheme="minorHAnsi" w:eastAsia="Calibri" w:hAnsiTheme="minorHAnsi" w:cstheme="minorHAnsi"/>
          <w:sz w:val="32"/>
          <w:szCs w:val="32"/>
        </w:rPr>
      </w:pPr>
      <w:r w:rsidRPr="003D3270">
        <w:rPr>
          <w:rFonts w:asciiTheme="minorHAnsi" w:eastAsia="Calibri" w:hAnsiTheme="minorHAnsi" w:cstheme="minorHAnsi"/>
          <w:sz w:val="18"/>
        </w:rPr>
        <w:t>Fonte: Nomisma e Fimaa-Confcommercio</w:t>
      </w:r>
    </w:p>
    <w:sectPr w:rsidR="00575691" w:rsidRPr="003D3270" w:rsidSect="005933D1">
      <w:headerReference w:type="default" r:id="rId15"/>
      <w:footerReference w:type="default" r:id="rId16"/>
      <w:headerReference w:type="first" r:id="rId17"/>
      <w:pgSz w:w="11906" w:h="16838" w:code="9"/>
      <w:pgMar w:top="2268" w:right="1134" w:bottom="1701"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71" w:rsidRDefault="006C0271" w:rsidP="00AE50F2">
      <w:r>
        <w:separator/>
      </w:r>
    </w:p>
  </w:endnote>
  <w:endnote w:type="continuationSeparator" w:id="0">
    <w:p w:rsidR="006C0271" w:rsidRDefault="006C0271" w:rsidP="00A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654989620"/>
      <w:docPartObj>
        <w:docPartGallery w:val="Page Numbers (Bottom of Page)"/>
        <w:docPartUnique/>
      </w:docPartObj>
    </w:sdtPr>
    <w:sdtEndPr/>
    <w:sdtContent>
      <w:p w:rsidR="003D3270" w:rsidRPr="00E65333" w:rsidRDefault="003D3270" w:rsidP="00E65333">
        <w:pPr>
          <w:pStyle w:val="Pidipagina"/>
          <w:pBdr>
            <w:top w:val="single" w:sz="4" w:space="1" w:color="auto"/>
          </w:pBdr>
          <w:jc w:val="right"/>
          <w:rPr>
            <w:rFonts w:asciiTheme="minorHAnsi" w:hAnsiTheme="minorHAnsi"/>
            <w:sz w:val="20"/>
          </w:rPr>
        </w:pPr>
        <w:r w:rsidRPr="00CB214E">
          <w:rPr>
            <w:rFonts w:asciiTheme="minorHAnsi" w:hAnsiTheme="minorHAnsi"/>
            <w:sz w:val="20"/>
          </w:rPr>
          <w:t xml:space="preserve">Osservatorio Turistico, </w:t>
        </w:r>
        <w:r>
          <w:rPr>
            <w:rFonts w:asciiTheme="minorHAnsi" w:hAnsiTheme="minorHAnsi"/>
            <w:sz w:val="20"/>
          </w:rPr>
          <w:t>Luglio 2015</w:t>
        </w:r>
        <w:r w:rsidRPr="00CB214E">
          <w:rPr>
            <w:rFonts w:asciiTheme="minorHAnsi" w:hAnsiTheme="minorHAnsi"/>
            <w:sz w:val="20"/>
          </w:rPr>
          <w:tab/>
        </w:r>
        <w:r w:rsidRPr="00CB214E">
          <w:rPr>
            <w:rFonts w:asciiTheme="minorHAnsi" w:hAnsiTheme="minorHAnsi"/>
            <w:sz w:val="20"/>
          </w:rPr>
          <w:tab/>
        </w:r>
        <w:r w:rsidRPr="00CB214E">
          <w:rPr>
            <w:rFonts w:asciiTheme="minorHAnsi" w:hAnsiTheme="minorHAnsi"/>
            <w:sz w:val="20"/>
          </w:rPr>
          <w:fldChar w:fldCharType="begin"/>
        </w:r>
        <w:r w:rsidRPr="00CB214E">
          <w:rPr>
            <w:rFonts w:asciiTheme="minorHAnsi" w:hAnsiTheme="minorHAnsi"/>
            <w:sz w:val="20"/>
          </w:rPr>
          <w:instrText>PAGE   \* MERGEFORMAT</w:instrText>
        </w:r>
        <w:r w:rsidRPr="00CB214E">
          <w:rPr>
            <w:rFonts w:asciiTheme="minorHAnsi" w:hAnsiTheme="minorHAnsi"/>
            <w:sz w:val="20"/>
          </w:rPr>
          <w:fldChar w:fldCharType="separate"/>
        </w:r>
        <w:r w:rsidR="004B5F45">
          <w:rPr>
            <w:rFonts w:asciiTheme="minorHAnsi" w:hAnsiTheme="minorHAnsi"/>
            <w:noProof/>
            <w:sz w:val="20"/>
          </w:rPr>
          <w:t>10</w:t>
        </w:r>
        <w:r w:rsidRPr="00CB214E">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71" w:rsidRDefault="006C0271" w:rsidP="00AE50F2">
      <w:r>
        <w:separator/>
      </w:r>
    </w:p>
  </w:footnote>
  <w:footnote w:type="continuationSeparator" w:id="0">
    <w:p w:rsidR="006C0271" w:rsidRDefault="006C0271" w:rsidP="00AE5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70" w:rsidRDefault="003D3270" w:rsidP="008A4E21">
    <w:pPr>
      <w:pStyle w:val="Intestazione"/>
      <w:pBdr>
        <w:bottom w:val="single" w:sz="2" w:space="1" w:color="auto"/>
      </w:pBdr>
      <w:spacing w:after="120"/>
      <w:jc w:val="right"/>
    </w:pPr>
    <w:r>
      <w:rPr>
        <w:noProof/>
      </w:rPr>
      <w:drawing>
        <wp:anchor distT="0" distB="0" distL="114300" distR="114300" simplePos="0" relativeHeight="251665408" behindDoc="0" locked="0" layoutInCell="1" allowOverlap="1">
          <wp:simplePos x="0" y="0"/>
          <wp:positionH relativeFrom="column">
            <wp:posOffset>4592320</wp:posOffset>
          </wp:positionH>
          <wp:positionV relativeFrom="paragraph">
            <wp:posOffset>-128905</wp:posOffset>
          </wp:positionV>
          <wp:extent cx="542925" cy="594995"/>
          <wp:effectExtent l="0" t="0" r="9525" b="0"/>
          <wp:wrapNone/>
          <wp:docPr id="9" name="Immagine 9" descr="F:\Aree\OssImm\Francesca Pagnini\2PROGETTI IN CORSO\2014\Turistico 2014\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ree\OssImm\Francesca Pagnini\2PROGETTI IN CORSO\2014\Turistico 2014\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94995"/>
                  </a:xfrm>
                  <a:prstGeom prst="rect">
                    <a:avLst/>
                  </a:prstGeom>
                  <a:noFill/>
                  <a:ln>
                    <a:noFill/>
                  </a:ln>
                </pic:spPr>
              </pic:pic>
            </a:graphicData>
          </a:graphic>
        </wp:anchor>
      </w:drawing>
    </w:r>
    <w:r w:rsidRPr="002D3762">
      <w:rPr>
        <w:noProof/>
      </w:rPr>
      <w:drawing>
        <wp:anchor distT="0" distB="0" distL="114300" distR="114300" simplePos="0" relativeHeight="251657216" behindDoc="0" locked="0" layoutInCell="1" allowOverlap="1">
          <wp:simplePos x="0" y="0"/>
          <wp:positionH relativeFrom="column">
            <wp:posOffset>-1905</wp:posOffset>
          </wp:positionH>
          <wp:positionV relativeFrom="paragraph">
            <wp:posOffset>-135890</wp:posOffset>
          </wp:positionV>
          <wp:extent cx="978535" cy="58039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580390"/>
                  </a:xfrm>
                  <a:prstGeom prst="rect">
                    <a:avLst/>
                  </a:prstGeom>
                  <a:noFill/>
                  <a:ln>
                    <a:noFill/>
                  </a:ln>
                </pic:spPr>
              </pic:pic>
            </a:graphicData>
          </a:graphic>
        </wp:anchor>
      </w:drawing>
    </w:r>
    <w:r>
      <w:rPr>
        <w:noProof/>
      </w:rPr>
      <w:drawing>
        <wp:inline distT="0" distB="0" distL="0" distR="0">
          <wp:extent cx="981075" cy="457200"/>
          <wp:effectExtent l="0" t="0" r="9525" b="0"/>
          <wp:docPr id="4" name="Immagine 9" descr="LOGO CONFCOM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NFCOMMERC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70" w:rsidRDefault="003D3270">
    <w:pPr>
      <w:pStyle w:val="Intestazione"/>
    </w:pPr>
    <w:r>
      <w:rPr>
        <w:noProof/>
      </w:rPr>
      <w:drawing>
        <wp:anchor distT="0" distB="0" distL="114300" distR="114300" simplePos="0" relativeHeight="251667456" behindDoc="0" locked="0" layoutInCell="1" allowOverlap="1">
          <wp:simplePos x="0" y="0"/>
          <wp:positionH relativeFrom="column">
            <wp:posOffset>4985385</wp:posOffset>
          </wp:positionH>
          <wp:positionV relativeFrom="paragraph">
            <wp:posOffset>889635</wp:posOffset>
          </wp:positionV>
          <wp:extent cx="819150" cy="897890"/>
          <wp:effectExtent l="0" t="0" r="0" b="0"/>
          <wp:wrapNone/>
          <wp:docPr id="5" name="Immagin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97890"/>
                  </a:xfrm>
                  <a:prstGeom prst="rect">
                    <a:avLst/>
                  </a:prstGeom>
                  <a:noFill/>
                </pic:spPr>
              </pic:pic>
            </a:graphicData>
          </a:graphic>
        </wp:anchor>
      </w:drawing>
    </w:r>
    <w:r>
      <w:rPr>
        <w:rFonts w:ascii="Calibri" w:hAnsi="Calibri"/>
        <w:b/>
        <w:i/>
        <w:noProof/>
        <w:color w:val="000000"/>
        <w:sz w:val="32"/>
        <w:szCs w:val="32"/>
      </w:rPr>
      <w:drawing>
        <wp:anchor distT="0" distB="0" distL="114300" distR="114300" simplePos="0" relativeHeight="251659264" behindDoc="0" locked="0" layoutInCell="1" allowOverlap="1">
          <wp:simplePos x="0" y="0"/>
          <wp:positionH relativeFrom="column">
            <wp:posOffset>73025</wp:posOffset>
          </wp:positionH>
          <wp:positionV relativeFrom="paragraph">
            <wp:posOffset>864235</wp:posOffset>
          </wp:positionV>
          <wp:extent cx="1540510" cy="914400"/>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510" cy="914400"/>
                  </a:xfrm>
                  <a:prstGeom prst="rect">
                    <a:avLst/>
                  </a:prstGeom>
                  <a:noFill/>
                  <a:ln>
                    <a:noFill/>
                  </a:ln>
                </pic:spPr>
              </pic:pic>
            </a:graphicData>
          </a:graphic>
        </wp:anchor>
      </w:drawing>
    </w:r>
    <w:r w:rsidRPr="002D3762">
      <w:rPr>
        <w:snapToGrid w:val="0"/>
        <w:color w:val="000000"/>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192D"/>
    <w:multiLevelType w:val="hybridMultilevel"/>
    <w:tmpl w:val="9D648C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AB63258"/>
    <w:multiLevelType w:val="hybridMultilevel"/>
    <w:tmpl w:val="1E7A9F1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71DC5FC3"/>
    <w:multiLevelType w:val="hybridMultilevel"/>
    <w:tmpl w:val="2CAE8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ocumentProtection w:edit="trackedChanges" w:enforcement="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02"/>
    <w:rsid w:val="000149FE"/>
    <w:rsid w:val="000251ED"/>
    <w:rsid w:val="000268C1"/>
    <w:rsid w:val="00032A42"/>
    <w:rsid w:val="00073B14"/>
    <w:rsid w:val="00077198"/>
    <w:rsid w:val="0009207A"/>
    <w:rsid w:val="0009799C"/>
    <w:rsid w:val="000B0BCD"/>
    <w:rsid w:val="000C003A"/>
    <w:rsid w:val="000C1555"/>
    <w:rsid w:val="000D69E5"/>
    <w:rsid w:val="000D7640"/>
    <w:rsid w:val="000E17D1"/>
    <w:rsid w:val="0010768A"/>
    <w:rsid w:val="00115CDF"/>
    <w:rsid w:val="001534C0"/>
    <w:rsid w:val="0015563B"/>
    <w:rsid w:val="001572CE"/>
    <w:rsid w:val="00167778"/>
    <w:rsid w:val="00170F64"/>
    <w:rsid w:val="00176583"/>
    <w:rsid w:val="001845DF"/>
    <w:rsid w:val="0019429B"/>
    <w:rsid w:val="001A3468"/>
    <w:rsid w:val="001A35B3"/>
    <w:rsid w:val="001C12EE"/>
    <w:rsid w:val="001F0AA4"/>
    <w:rsid w:val="001F1801"/>
    <w:rsid w:val="00233F7C"/>
    <w:rsid w:val="00261881"/>
    <w:rsid w:val="00264809"/>
    <w:rsid w:val="002979BE"/>
    <w:rsid w:val="002C1729"/>
    <w:rsid w:val="002D3762"/>
    <w:rsid w:val="002D78BD"/>
    <w:rsid w:val="002F6528"/>
    <w:rsid w:val="002F6F6E"/>
    <w:rsid w:val="003175D9"/>
    <w:rsid w:val="00321D49"/>
    <w:rsid w:val="00346ABC"/>
    <w:rsid w:val="003516B6"/>
    <w:rsid w:val="0035263B"/>
    <w:rsid w:val="00364602"/>
    <w:rsid w:val="003678A4"/>
    <w:rsid w:val="003B50D9"/>
    <w:rsid w:val="003B5CE0"/>
    <w:rsid w:val="003D3270"/>
    <w:rsid w:val="003D3670"/>
    <w:rsid w:val="0041163B"/>
    <w:rsid w:val="00421BD4"/>
    <w:rsid w:val="004334B9"/>
    <w:rsid w:val="00433ED5"/>
    <w:rsid w:val="00464424"/>
    <w:rsid w:val="004670CE"/>
    <w:rsid w:val="004738DE"/>
    <w:rsid w:val="00480222"/>
    <w:rsid w:val="004A177A"/>
    <w:rsid w:val="004A29DB"/>
    <w:rsid w:val="004A4F2A"/>
    <w:rsid w:val="004B5739"/>
    <w:rsid w:val="004B5F45"/>
    <w:rsid w:val="004D2B7B"/>
    <w:rsid w:val="004D6035"/>
    <w:rsid w:val="004F63F3"/>
    <w:rsid w:val="005013C2"/>
    <w:rsid w:val="005025ED"/>
    <w:rsid w:val="00504513"/>
    <w:rsid w:val="0050454B"/>
    <w:rsid w:val="0051067D"/>
    <w:rsid w:val="00514FB7"/>
    <w:rsid w:val="0052757E"/>
    <w:rsid w:val="0056531D"/>
    <w:rsid w:val="00571016"/>
    <w:rsid w:val="005750E9"/>
    <w:rsid w:val="005751CB"/>
    <w:rsid w:val="00575691"/>
    <w:rsid w:val="00582B11"/>
    <w:rsid w:val="00583877"/>
    <w:rsid w:val="00592D6A"/>
    <w:rsid w:val="005933D1"/>
    <w:rsid w:val="005A0D42"/>
    <w:rsid w:val="005A1207"/>
    <w:rsid w:val="005A6382"/>
    <w:rsid w:val="005B3ACD"/>
    <w:rsid w:val="005C11B2"/>
    <w:rsid w:val="005D35E9"/>
    <w:rsid w:val="0061393C"/>
    <w:rsid w:val="006344E1"/>
    <w:rsid w:val="006432F2"/>
    <w:rsid w:val="00671323"/>
    <w:rsid w:val="00697AAF"/>
    <w:rsid w:val="006A0BF2"/>
    <w:rsid w:val="006C0271"/>
    <w:rsid w:val="006C3B5C"/>
    <w:rsid w:val="006C6DE9"/>
    <w:rsid w:val="006D3C3D"/>
    <w:rsid w:val="006D6509"/>
    <w:rsid w:val="006E2E9E"/>
    <w:rsid w:val="006E4643"/>
    <w:rsid w:val="006F6E3E"/>
    <w:rsid w:val="00707A17"/>
    <w:rsid w:val="00730030"/>
    <w:rsid w:val="007351F6"/>
    <w:rsid w:val="00740A87"/>
    <w:rsid w:val="00741D79"/>
    <w:rsid w:val="007443E9"/>
    <w:rsid w:val="007469F5"/>
    <w:rsid w:val="007A3992"/>
    <w:rsid w:val="007A4858"/>
    <w:rsid w:val="007A64EE"/>
    <w:rsid w:val="007B1694"/>
    <w:rsid w:val="007B44FF"/>
    <w:rsid w:val="007C0B66"/>
    <w:rsid w:val="007C3764"/>
    <w:rsid w:val="007D32E8"/>
    <w:rsid w:val="007D5AA4"/>
    <w:rsid w:val="007F37E0"/>
    <w:rsid w:val="00802A5B"/>
    <w:rsid w:val="0081339A"/>
    <w:rsid w:val="00823B23"/>
    <w:rsid w:val="0083793A"/>
    <w:rsid w:val="00856627"/>
    <w:rsid w:val="00864A95"/>
    <w:rsid w:val="008858C8"/>
    <w:rsid w:val="0089484C"/>
    <w:rsid w:val="00897A38"/>
    <w:rsid w:val="008A1AEB"/>
    <w:rsid w:val="008A4E21"/>
    <w:rsid w:val="008B4566"/>
    <w:rsid w:val="008B7E41"/>
    <w:rsid w:val="008D7331"/>
    <w:rsid w:val="008E050B"/>
    <w:rsid w:val="0090056D"/>
    <w:rsid w:val="00900FA7"/>
    <w:rsid w:val="00915F00"/>
    <w:rsid w:val="009526CE"/>
    <w:rsid w:val="0099794E"/>
    <w:rsid w:val="009A328E"/>
    <w:rsid w:val="009C5CE1"/>
    <w:rsid w:val="009C78FC"/>
    <w:rsid w:val="009D59AA"/>
    <w:rsid w:val="009D67DC"/>
    <w:rsid w:val="009D7668"/>
    <w:rsid w:val="009E20FD"/>
    <w:rsid w:val="009E7B3C"/>
    <w:rsid w:val="009F3C49"/>
    <w:rsid w:val="00A02EB4"/>
    <w:rsid w:val="00A13210"/>
    <w:rsid w:val="00A20A33"/>
    <w:rsid w:val="00A21056"/>
    <w:rsid w:val="00A23258"/>
    <w:rsid w:val="00A52092"/>
    <w:rsid w:val="00A611E3"/>
    <w:rsid w:val="00A730BA"/>
    <w:rsid w:val="00AC5889"/>
    <w:rsid w:val="00AD3815"/>
    <w:rsid w:val="00AE50F2"/>
    <w:rsid w:val="00AF3CF5"/>
    <w:rsid w:val="00B176F1"/>
    <w:rsid w:val="00B21983"/>
    <w:rsid w:val="00B23B9D"/>
    <w:rsid w:val="00B341AE"/>
    <w:rsid w:val="00B37398"/>
    <w:rsid w:val="00B41D26"/>
    <w:rsid w:val="00B605A0"/>
    <w:rsid w:val="00B66678"/>
    <w:rsid w:val="00B74650"/>
    <w:rsid w:val="00BC5846"/>
    <w:rsid w:val="00BF3C11"/>
    <w:rsid w:val="00C25B34"/>
    <w:rsid w:val="00C347B9"/>
    <w:rsid w:val="00C50228"/>
    <w:rsid w:val="00C51F61"/>
    <w:rsid w:val="00C52CB7"/>
    <w:rsid w:val="00C61B0B"/>
    <w:rsid w:val="00C71A77"/>
    <w:rsid w:val="00C72373"/>
    <w:rsid w:val="00C765C8"/>
    <w:rsid w:val="00C77B57"/>
    <w:rsid w:val="00C86D36"/>
    <w:rsid w:val="00CB214E"/>
    <w:rsid w:val="00CB4779"/>
    <w:rsid w:val="00CC3C69"/>
    <w:rsid w:val="00CC76A7"/>
    <w:rsid w:val="00CD4EBB"/>
    <w:rsid w:val="00CF182C"/>
    <w:rsid w:val="00CF2ECA"/>
    <w:rsid w:val="00D3198C"/>
    <w:rsid w:val="00D335AF"/>
    <w:rsid w:val="00D3726F"/>
    <w:rsid w:val="00D50CA5"/>
    <w:rsid w:val="00D67886"/>
    <w:rsid w:val="00D859D7"/>
    <w:rsid w:val="00D8778F"/>
    <w:rsid w:val="00DB0182"/>
    <w:rsid w:val="00DB5FBA"/>
    <w:rsid w:val="00DF5534"/>
    <w:rsid w:val="00DF6093"/>
    <w:rsid w:val="00DF7D06"/>
    <w:rsid w:val="00E029FB"/>
    <w:rsid w:val="00E04C12"/>
    <w:rsid w:val="00E116C8"/>
    <w:rsid w:val="00E13F8E"/>
    <w:rsid w:val="00E22790"/>
    <w:rsid w:val="00E27478"/>
    <w:rsid w:val="00E349C4"/>
    <w:rsid w:val="00E65333"/>
    <w:rsid w:val="00E7663C"/>
    <w:rsid w:val="00E80022"/>
    <w:rsid w:val="00E9116D"/>
    <w:rsid w:val="00E9333A"/>
    <w:rsid w:val="00EA36C5"/>
    <w:rsid w:val="00EB055B"/>
    <w:rsid w:val="00EB4499"/>
    <w:rsid w:val="00EB6E74"/>
    <w:rsid w:val="00EC469A"/>
    <w:rsid w:val="00EE325E"/>
    <w:rsid w:val="00EE766C"/>
    <w:rsid w:val="00EF2F69"/>
    <w:rsid w:val="00F0365C"/>
    <w:rsid w:val="00F07FAE"/>
    <w:rsid w:val="00F13CF1"/>
    <w:rsid w:val="00F171FB"/>
    <w:rsid w:val="00F21E09"/>
    <w:rsid w:val="00F23EA6"/>
    <w:rsid w:val="00F27FA9"/>
    <w:rsid w:val="00F335F2"/>
    <w:rsid w:val="00F5371D"/>
    <w:rsid w:val="00F537B5"/>
    <w:rsid w:val="00F56574"/>
    <w:rsid w:val="00F63B06"/>
    <w:rsid w:val="00F9000B"/>
    <w:rsid w:val="00F910D0"/>
    <w:rsid w:val="00FA4D09"/>
    <w:rsid w:val="00FA77A6"/>
    <w:rsid w:val="00FC4118"/>
    <w:rsid w:val="00FC4DF6"/>
    <w:rsid w:val="00FC569A"/>
    <w:rsid w:val="00FC7BBB"/>
    <w:rsid w:val="00FD5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602"/>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6D3C3D"/>
    <w:pPr>
      <w:spacing w:after="0" w:line="240" w:lineRule="auto"/>
    </w:pPr>
    <w:rPr>
      <w:rFonts w:ascii="Calibri" w:hAnsi="Calibri" w:cs="Times New Roman"/>
      <w:b/>
      <w:bCs/>
      <w: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3C3D"/>
    <w:pPr>
      <w:ind w:left="720"/>
      <w:contextualSpacing/>
    </w:pPr>
  </w:style>
  <w:style w:type="paragraph" w:customStyle="1" w:styleId="Paragrafoelenco1">
    <w:name w:val="Paragrafo elenco1"/>
    <w:basedOn w:val="Normale"/>
    <w:uiPriority w:val="99"/>
    <w:rsid w:val="006D3C3D"/>
    <w:pPr>
      <w:ind w:left="720"/>
    </w:pPr>
    <w:rPr>
      <w:rFonts w:eastAsia="Calibri"/>
    </w:rPr>
  </w:style>
  <w:style w:type="paragraph" w:customStyle="1" w:styleId="testo2">
    <w:name w:val="testo2"/>
    <w:basedOn w:val="Normale"/>
    <w:uiPriority w:val="99"/>
    <w:rsid w:val="006D3C3D"/>
    <w:pPr>
      <w:widowControl w:val="0"/>
      <w:spacing w:before="120" w:line="360" w:lineRule="auto"/>
    </w:pPr>
  </w:style>
  <w:style w:type="paragraph" w:styleId="Intestazione">
    <w:name w:val="header"/>
    <w:basedOn w:val="Normale"/>
    <w:link w:val="IntestazioneCarattere"/>
    <w:uiPriority w:val="99"/>
    <w:unhideWhenUsed/>
    <w:rsid w:val="00AE50F2"/>
    <w:pPr>
      <w:tabs>
        <w:tab w:val="center" w:pos="4819"/>
        <w:tab w:val="right" w:pos="9638"/>
      </w:tabs>
    </w:pPr>
  </w:style>
  <w:style w:type="character" w:customStyle="1" w:styleId="IntestazioneCarattere">
    <w:name w:val="Intestazione Carattere"/>
    <w:basedOn w:val="Carpredefinitoparagrafo"/>
    <w:link w:val="Intestazione"/>
    <w:uiPriority w:val="99"/>
    <w:rsid w:val="00AE50F2"/>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AE50F2"/>
    <w:pPr>
      <w:tabs>
        <w:tab w:val="center" w:pos="4819"/>
        <w:tab w:val="right" w:pos="9638"/>
      </w:tabs>
    </w:pPr>
  </w:style>
  <w:style w:type="character" w:customStyle="1" w:styleId="PidipaginaCarattere">
    <w:name w:val="Piè di pagina Carattere"/>
    <w:basedOn w:val="Carpredefinitoparagrafo"/>
    <w:link w:val="Pidipagina"/>
    <w:uiPriority w:val="99"/>
    <w:rsid w:val="00AE50F2"/>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63B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3B06"/>
    <w:rPr>
      <w:rFonts w:ascii="Tahoma" w:eastAsia="Times New Roman" w:hAnsi="Tahoma" w:cs="Tahoma"/>
      <w:sz w:val="16"/>
      <w:szCs w:val="16"/>
      <w:lang w:eastAsia="it-IT"/>
    </w:rPr>
  </w:style>
  <w:style w:type="paragraph" w:customStyle="1" w:styleId="Default">
    <w:name w:val="Default"/>
    <w:uiPriority w:val="99"/>
    <w:rsid w:val="00575691"/>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FC4DF6"/>
    <w:pPr>
      <w:spacing w:after="0" w:line="240" w:lineRule="auto"/>
    </w:pPr>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602"/>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6D3C3D"/>
    <w:pPr>
      <w:spacing w:after="0" w:line="240" w:lineRule="auto"/>
    </w:pPr>
    <w:rPr>
      <w:rFonts w:ascii="Calibri" w:hAnsi="Calibri" w:cs="Times New Roman"/>
      <w:b/>
      <w:bCs/>
      <w: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3C3D"/>
    <w:pPr>
      <w:ind w:left="720"/>
      <w:contextualSpacing/>
    </w:pPr>
  </w:style>
  <w:style w:type="paragraph" w:customStyle="1" w:styleId="Paragrafoelenco1">
    <w:name w:val="Paragrafo elenco1"/>
    <w:basedOn w:val="Normale"/>
    <w:uiPriority w:val="99"/>
    <w:rsid w:val="006D3C3D"/>
    <w:pPr>
      <w:ind w:left="720"/>
    </w:pPr>
    <w:rPr>
      <w:rFonts w:eastAsia="Calibri"/>
    </w:rPr>
  </w:style>
  <w:style w:type="paragraph" w:customStyle="1" w:styleId="testo2">
    <w:name w:val="testo2"/>
    <w:basedOn w:val="Normale"/>
    <w:uiPriority w:val="99"/>
    <w:rsid w:val="006D3C3D"/>
    <w:pPr>
      <w:widowControl w:val="0"/>
      <w:spacing w:before="120" w:line="360" w:lineRule="auto"/>
    </w:pPr>
  </w:style>
  <w:style w:type="paragraph" w:styleId="Intestazione">
    <w:name w:val="header"/>
    <w:basedOn w:val="Normale"/>
    <w:link w:val="IntestazioneCarattere"/>
    <w:uiPriority w:val="99"/>
    <w:unhideWhenUsed/>
    <w:rsid w:val="00AE50F2"/>
    <w:pPr>
      <w:tabs>
        <w:tab w:val="center" w:pos="4819"/>
        <w:tab w:val="right" w:pos="9638"/>
      </w:tabs>
    </w:pPr>
  </w:style>
  <w:style w:type="character" w:customStyle="1" w:styleId="IntestazioneCarattere">
    <w:name w:val="Intestazione Carattere"/>
    <w:basedOn w:val="Carpredefinitoparagrafo"/>
    <w:link w:val="Intestazione"/>
    <w:uiPriority w:val="99"/>
    <w:rsid w:val="00AE50F2"/>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AE50F2"/>
    <w:pPr>
      <w:tabs>
        <w:tab w:val="center" w:pos="4819"/>
        <w:tab w:val="right" w:pos="9638"/>
      </w:tabs>
    </w:pPr>
  </w:style>
  <w:style w:type="character" w:customStyle="1" w:styleId="PidipaginaCarattere">
    <w:name w:val="Piè di pagina Carattere"/>
    <w:basedOn w:val="Carpredefinitoparagrafo"/>
    <w:link w:val="Pidipagina"/>
    <w:uiPriority w:val="99"/>
    <w:rsid w:val="00AE50F2"/>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63B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3B06"/>
    <w:rPr>
      <w:rFonts w:ascii="Tahoma" w:eastAsia="Times New Roman" w:hAnsi="Tahoma" w:cs="Tahoma"/>
      <w:sz w:val="16"/>
      <w:szCs w:val="16"/>
      <w:lang w:eastAsia="it-IT"/>
    </w:rPr>
  </w:style>
  <w:style w:type="paragraph" w:customStyle="1" w:styleId="Default">
    <w:name w:val="Default"/>
    <w:uiPriority w:val="99"/>
    <w:rsid w:val="00575691"/>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FC4DF6"/>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9862">
      <w:bodyDiv w:val="1"/>
      <w:marLeft w:val="0"/>
      <w:marRight w:val="0"/>
      <w:marTop w:val="0"/>
      <w:marBottom w:val="0"/>
      <w:divBdr>
        <w:top w:val="none" w:sz="0" w:space="0" w:color="auto"/>
        <w:left w:val="none" w:sz="0" w:space="0" w:color="auto"/>
        <w:bottom w:val="none" w:sz="0" w:space="0" w:color="auto"/>
        <w:right w:val="none" w:sz="0" w:space="0" w:color="auto"/>
      </w:divBdr>
    </w:div>
    <w:div w:id="491220476">
      <w:bodyDiv w:val="1"/>
      <w:marLeft w:val="0"/>
      <w:marRight w:val="0"/>
      <w:marTop w:val="0"/>
      <w:marBottom w:val="0"/>
      <w:divBdr>
        <w:top w:val="none" w:sz="0" w:space="0" w:color="auto"/>
        <w:left w:val="none" w:sz="0" w:space="0" w:color="auto"/>
        <w:bottom w:val="none" w:sz="0" w:space="0" w:color="auto"/>
        <w:right w:val="none" w:sz="0" w:space="0" w:color="auto"/>
      </w:divBdr>
    </w:div>
    <w:div w:id="893201504">
      <w:bodyDiv w:val="1"/>
      <w:marLeft w:val="0"/>
      <w:marRight w:val="0"/>
      <w:marTop w:val="0"/>
      <w:marBottom w:val="0"/>
      <w:divBdr>
        <w:top w:val="none" w:sz="0" w:space="0" w:color="auto"/>
        <w:left w:val="none" w:sz="0" w:space="0" w:color="auto"/>
        <w:bottom w:val="none" w:sz="0" w:space="0" w:color="auto"/>
        <w:right w:val="none" w:sz="0" w:space="0" w:color="auto"/>
      </w:divBdr>
    </w:div>
    <w:div w:id="935551748">
      <w:bodyDiv w:val="1"/>
      <w:marLeft w:val="0"/>
      <w:marRight w:val="0"/>
      <w:marTop w:val="0"/>
      <w:marBottom w:val="0"/>
      <w:divBdr>
        <w:top w:val="none" w:sz="0" w:space="0" w:color="auto"/>
        <w:left w:val="none" w:sz="0" w:space="0" w:color="auto"/>
        <w:bottom w:val="none" w:sz="0" w:space="0" w:color="auto"/>
        <w:right w:val="none" w:sz="0" w:space="0" w:color="auto"/>
      </w:divBdr>
    </w:div>
    <w:div w:id="1016998825">
      <w:bodyDiv w:val="1"/>
      <w:marLeft w:val="0"/>
      <w:marRight w:val="0"/>
      <w:marTop w:val="0"/>
      <w:marBottom w:val="0"/>
      <w:divBdr>
        <w:top w:val="none" w:sz="0" w:space="0" w:color="auto"/>
        <w:left w:val="none" w:sz="0" w:space="0" w:color="auto"/>
        <w:bottom w:val="none" w:sz="0" w:space="0" w:color="auto"/>
        <w:right w:val="none" w:sz="0" w:space="0" w:color="auto"/>
      </w:divBdr>
    </w:div>
    <w:div w:id="1651707510">
      <w:bodyDiv w:val="1"/>
      <w:marLeft w:val="0"/>
      <w:marRight w:val="0"/>
      <w:marTop w:val="0"/>
      <w:marBottom w:val="0"/>
      <w:divBdr>
        <w:top w:val="none" w:sz="0" w:space="0" w:color="auto"/>
        <w:left w:val="none" w:sz="0" w:space="0" w:color="auto"/>
        <w:bottom w:val="none" w:sz="0" w:space="0" w:color="auto"/>
        <w:right w:val="none" w:sz="0" w:space="0" w:color="auto"/>
      </w:divBdr>
    </w:div>
    <w:div w:id="1712068703">
      <w:bodyDiv w:val="1"/>
      <w:marLeft w:val="0"/>
      <w:marRight w:val="0"/>
      <w:marTop w:val="0"/>
      <w:marBottom w:val="0"/>
      <w:divBdr>
        <w:top w:val="none" w:sz="0" w:space="0" w:color="auto"/>
        <w:left w:val="none" w:sz="0" w:space="0" w:color="auto"/>
        <w:bottom w:val="none" w:sz="0" w:space="0" w:color="auto"/>
        <w:right w:val="none" w:sz="0" w:space="0" w:color="auto"/>
      </w:divBdr>
    </w:div>
    <w:div w:id="2093771933">
      <w:bodyDiv w:val="1"/>
      <w:marLeft w:val="0"/>
      <w:marRight w:val="0"/>
      <w:marTop w:val="0"/>
      <w:marBottom w:val="0"/>
      <w:divBdr>
        <w:top w:val="none" w:sz="0" w:space="0" w:color="auto"/>
        <w:left w:val="none" w:sz="0" w:space="0" w:color="auto"/>
        <w:bottom w:val="none" w:sz="0" w:space="0" w:color="auto"/>
        <w:right w:val="none" w:sz="0" w:space="0" w:color="auto"/>
      </w:divBdr>
    </w:div>
    <w:div w:id="2131706145">
      <w:bodyDiv w:val="1"/>
      <w:marLeft w:val="0"/>
      <w:marRight w:val="0"/>
      <w:marTop w:val="0"/>
      <w:marBottom w:val="0"/>
      <w:divBdr>
        <w:top w:val="none" w:sz="0" w:space="0" w:color="auto"/>
        <w:left w:val="none" w:sz="0" w:space="0" w:color="auto"/>
        <w:bottom w:val="none" w:sz="0" w:space="0" w:color="auto"/>
        <w:right w:val="none" w:sz="0" w:space="0" w:color="auto"/>
      </w:divBdr>
    </w:div>
    <w:div w:id="21468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4309-AF8F-4A36-8D46-6BA7C3AA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2559</Words>
  <Characters>14592</Characters>
  <Application>Microsoft Office Word</Application>
  <DocSecurity>4</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Molignoni</dc:creator>
  <cp:lastModifiedBy>Ragaini</cp:lastModifiedBy>
  <cp:revision>2</cp:revision>
  <cp:lastPrinted>2015-07-23T13:04:00Z</cp:lastPrinted>
  <dcterms:created xsi:type="dcterms:W3CDTF">2015-07-27T15:31:00Z</dcterms:created>
  <dcterms:modified xsi:type="dcterms:W3CDTF">2015-07-27T15:31:00Z</dcterms:modified>
</cp:coreProperties>
</file>