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55" w:rsidRDefault="00372EE8" w:rsidP="00330890">
      <w:pPr>
        <w:jc w:val="center"/>
        <w:rPr>
          <w:sz w:val="16"/>
        </w:rPr>
      </w:pPr>
      <w:r>
        <w:rPr>
          <w:rFonts w:ascii="Verdana" w:hAnsi="Verdana"/>
          <w:noProof/>
          <w:sz w:val="22"/>
        </w:rPr>
        <w:drawing>
          <wp:anchor distT="0" distB="0" distL="114300" distR="114300" simplePos="0" relativeHeight="251657728" behindDoc="0" locked="0" layoutInCell="1" allowOverlap="1">
            <wp:simplePos x="0" y="0"/>
            <wp:positionH relativeFrom="column">
              <wp:posOffset>149225</wp:posOffset>
            </wp:positionH>
            <wp:positionV relativeFrom="paragraph">
              <wp:posOffset>-408940</wp:posOffset>
            </wp:positionV>
            <wp:extent cx="2400300" cy="10655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185147" w:rsidRDefault="00185147" w:rsidP="00F3572B">
      <w:pPr>
        <w:pStyle w:val="Corpotesto"/>
        <w:autoSpaceDE w:val="0"/>
        <w:autoSpaceDN w:val="0"/>
        <w:adjustRightInd w:val="0"/>
        <w:rPr>
          <w:rFonts w:ascii="Verdana" w:hAnsi="Verdana"/>
          <w:sz w:val="20"/>
        </w:rPr>
      </w:pPr>
    </w:p>
    <w:p w:rsidR="00376D9E" w:rsidRPr="00B95E39" w:rsidRDefault="00376D9E" w:rsidP="00F24BEF">
      <w:pPr>
        <w:pStyle w:val="StileRapporto"/>
        <w:spacing w:line="240" w:lineRule="auto"/>
        <w:rPr>
          <w:rFonts w:cs="Arial"/>
          <w:b/>
          <w:bCs/>
          <w:sz w:val="22"/>
          <w:szCs w:val="22"/>
        </w:rPr>
      </w:pPr>
      <w:r w:rsidRPr="00B95E39">
        <w:rPr>
          <w:rFonts w:cs="Arial"/>
          <w:b/>
          <w:bCs/>
          <w:sz w:val="22"/>
          <w:szCs w:val="22"/>
        </w:rPr>
        <w:t>Fabbisogno finanziario</w:t>
      </w:r>
    </w:p>
    <w:p w:rsidR="00376D9E" w:rsidRPr="00B95E39" w:rsidRDefault="00376D9E" w:rsidP="00404F1B">
      <w:pPr>
        <w:pStyle w:val="StileRapporto"/>
        <w:spacing w:line="240" w:lineRule="auto"/>
        <w:rPr>
          <w:rFonts w:cs="ArialMT"/>
          <w:sz w:val="22"/>
          <w:szCs w:val="22"/>
        </w:rPr>
      </w:pPr>
      <w:r w:rsidRPr="00B95E39">
        <w:rPr>
          <w:rFonts w:cs="Arial"/>
          <w:bCs/>
          <w:sz w:val="22"/>
          <w:szCs w:val="22"/>
        </w:rPr>
        <w:t>Nel secondo trimestre 2013 diminuiscono ancora le imprese che sono riuscite a far fronte ai propri impegni finanziari</w:t>
      </w:r>
      <w:r w:rsidR="00404F1B">
        <w:rPr>
          <w:rFonts w:cs="Arial"/>
          <w:bCs/>
          <w:sz w:val="22"/>
          <w:szCs w:val="22"/>
        </w:rPr>
        <w:t>: d</w:t>
      </w:r>
      <w:r w:rsidRPr="00B95E39">
        <w:rPr>
          <w:rFonts w:cs="ArialMT"/>
          <w:sz w:val="22"/>
          <w:szCs w:val="22"/>
        </w:rPr>
        <w:t>iminuisce</w:t>
      </w:r>
      <w:r w:rsidR="00404F1B">
        <w:rPr>
          <w:rFonts w:cs="ArialMT"/>
          <w:sz w:val="22"/>
          <w:szCs w:val="22"/>
        </w:rPr>
        <w:t>, infatti,</w:t>
      </w:r>
      <w:r w:rsidRPr="00B95E39">
        <w:rPr>
          <w:rFonts w:cs="ArialMT"/>
          <w:sz w:val="22"/>
          <w:szCs w:val="22"/>
        </w:rPr>
        <w:t xml:space="preserve"> la percentuale delle imprese che sono riuscite a far fronte al proprio fabbisogno finanziario senza difficoltà (dal 23,8% del primo trimestre al 19,8%), ed aumenta sia la quota di imprese che ci sono riuscite con difficoltà (dal 50,9% al 54,1%), sia il numero di imprese che non sono riuscite a fronteggiare il proprio fabbisogno (dal 25,3% al 26,1%).</w:t>
      </w:r>
    </w:p>
    <w:p w:rsidR="00376D9E" w:rsidRPr="00B95E39" w:rsidRDefault="00376D9E" w:rsidP="00376D9E">
      <w:pPr>
        <w:pStyle w:val="StileRapporto"/>
        <w:spacing w:line="240" w:lineRule="auto"/>
        <w:rPr>
          <w:rFonts w:cs="Arial"/>
          <w:bCs/>
          <w:sz w:val="22"/>
          <w:szCs w:val="22"/>
        </w:rPr>
      </w:pPr>
      <w:r w:rsidRPr="00B95E39">
        <w:rPr>
          <w:rFonts w:cs="Arial"/>
          <w:bCs/>
          <w:sz w:val="22"/>
          <w:szCs w:val="22"/>
        </w:rPr>
        <w:t>A livello territoriale risultano evidenti le maggiori difficoltà delle imprese che operano nelle regioni del Mezzogiorno e fra le imprese dei diversi settori sembrano leggermente meno critiche le condizioni di quelle dei servizi. In prospettiva, ad avere più difficoltà sono le imprese del turismo.</w:t>
      </w:r>
    </w:p>
    <w:p w:rsidR="00376D9E" w:rsidRPr="00B95E39" w:rsidRDefault="00376D9E" w:rsidP="00F24BEF">
      <w:pPr>
        <w:pStyle w:val="StileRapporto"/>
        <w:spacing w:line="240" w:lineRule="auto"/>
        <w:rPr>
          <w:rFonts w:cs="Arial"/>
          <w:b/>
          <w:bCs/>
          <w:sz w:val="22"/>
          <w:szCs w:val="22"/>
        </w:rPr>
      </w:pPr>
    </w:p>
    <w:p w:rsidR="00376D9E" w:rsidRPr="00B95E39" w:rsidRDefault="00376D9E" w:rsidP="00F24BEF">
      <w:pPr>
        <w:pStyle w:val="StileRapporto"/>
        <w:spacing w:line="240" w:lineRule="auto"/>
        <w:rPr>
          <w:rFonts w:cs="Arial"/>
          <w:b/>
          <w:bCs/>
          <w:sz w:val="22"/>
          <w:szCs w:val="22"/>
        </w:rPr>
      </w:pPr>
    </w:p>
    <w:p w:rsidR="00F24BEF" w:rsidRPr="00B95E39" w:rsidRDefault="009B5EC4" w:rsidP="00F24BEF">
      <w:pPr>
        <w:pStyle w:val="StileRapporto"/>
        <w:spacing w:line="240" w:lineRule="auto"/>
        <w:rPr>
          <w:rFonts w:cs="Arial"/>
          <w:b/>
          <w:bCs/>
          <w:sz w:val="22"/>
          <w:szCs w:val="22"/>
        </w:rPr>
      </w:pPr>
      <w:r w:rsidRPr="00B95E39">
        <w:rPr>
          <w:rFonts w:cs="Arial"/>
          <w:b/>
          <w:bCs/>
          <w:sz w:val="22"/>
          <w:szCs w:val="22"/>
        </w:rPr>
        <w:t>Domanda e offerta di credito</w:t>
      </w:r>
    </w:p>
    <w:p w:rsidR="00F24BEF" w:rsidRPr="00B95E39" w:rsidRDefault="00F24BEF" w:rsidP="00F24BEF">
      <w:pPr>
        <w:pStyle w:val="StileRapporto"/>
        <w:spacing w:line="240" w:lineRule="auto"/>
        <w:rPr>
          <w:rFonts w:cs="Arial"/>
          <w:bCs/>
          <w:sz w:val="22"/>
          <w:szCs w:val="22"/>
        </w:rPr>
      </w:pPr>
      <w:r w:rsidRPr="00B95E39">
        <w:rPr>
          <w:rFonts w:cs="Arial"/>
          <w:bCs/>
          <w:sz w:val="22"/>
          <w:szCs w:val="22"/>
        </w:rPr>
        <w:t xml:space="preserve">I dati rilevati dall'Osservatorio sul Credito di Confcommercio (OCC) segnalano che dal 2009, anno d’inizio delle rilevazioni, il secondo trimestre del </w:t>
      </w:r>
      <w:smartTag w:uri="urn:schemas-microsoft-com:office:smarttags" w:element="metricconverter">
        <w:smartTagPr>
          <w:attr w:name="ProductID" w:val="2013 ha"/>
        </w:smartTagPr>
        <w:r w:rsidRPr="00B95E39">
          <w:rPr>
            <w:rFonts w:cs="Arial"/>
            <w:bCs/>
            <w:sz w:val="22"/>
            <w:szCs w:val="22"/>
          </w:rPr>
          <w:t>2013 ha</w:t>
        </w:r>
      </w:smartTag>
      <w:r w:rsidRPr="00B95E39">
        <w:rPr>
          <w:rFonts w:cs="Arial"/>
          <w:bCs/>
          <w:sz w:val="22"/>
          <w:szCs w:val="22"/>
        </w:rPr>
        <w:t xml:space="preserve"> rappresentato il periodo peggiore per le imprese in termini di accoglimento pieno delle richieste di credito: solo il 26,9% delle richieste presentate nel 2° trimestre di quest’anno è stata accolta senza problemi, un dato che costituisce il minimo assoluto (</w:t>
      </w:r>
      <w:proofErr w:type="spellStart"/>
      <w:r w:rsidRPr="00B95E39">
        <w:rPr>
          <w:rFonts w:cs="Arial"/>
          <w:bCs/>
          <w:sz w:val="22"/>
          <w:szCs w:val="22"/>
        </w:rPr>
        <w:t>tab</w:t>
      </w:r>
      <w:proofErr w:type="spellEnd"/>
      <w:r w:rsidRPr="00B95E39">
        <w:rPr>
          <w:rFonts w:cs="Arial"/>
          <w:bCs/>
          <w:sz w:val="22"/>
          <w:szCs w:val="22"/>
        </w:rPr>
        <w:t>. 1).</w:t>
      </w:r>
    </w:p>
    <w:p w:rsidR="00F24BEF" w:rsidRPr="00B95E39" w:rsidRDefault="00F24BEF" w:rsidP="00C630A1">
      <w:pPr>
        <w:pStyle w:val="Corpotesto"/>
        <w:autoSpaceDE w:val="0"/>
        <w:autoSpaceDN w:val="0"/>
        <w:adjustRightInd w:val="0"/>
        <w:rPr>
          <w:rFonts w:ascii="Verdana" w:hAnsi="Verdana"/>
          <w:sz w:val="22"/>
          <w:szCs w:val="22"/>
        </w:rPr>
      </w:pPr>
    </w:p>
    <w:p w:rsidR="00F24BEF" w:rsidRPr="00B95E39" w:rsidRDefault="00F24BEF" w:rsidP="00C630A1">
      <w:pPr>
        <w:pStyle w:val="Corpotesto"/>
        <w:autoSpaceDE w:val="0"/>
        <w:autoSpaceDN w:val="0"/>
        <w:adjustRightInd w:val="0"/>
        <w:rPr>
          <w:rFonts w:ascii="Verdana" w:hAnsi="Verdana"/>
          <w:sz w:val="22"/>
          <w:szCs w:val="22"/>
        </w:rPr>
      </w:pPr>
    </w:p>
    <w:p w:rsidR="00F24BEF" w:rsidRPr="00B95E39" w:rsidRDefault="00F90EC0" w:rsidP="00F90EC0">
      <w:pPr>
        <w:jc w:val="both"/>
        <w:rPr>
          <w:rFonts w:ascii="Verdana" w:hAnsi="Verdana" w:cs="Arial"/>
          <w:b/>
          <w:sz w:val="22"/>
          <w:szCs w:val="22"/>
        </w:rPr>
      </w:pPr>
      <w:proofErr w:type="spellStart"/>
      <w:r w:rsidRPr="00B95E39">
        <w:rPr>
          <w:rFonts w:ascii="Verdana" w:hAnsi="Verdana" w:cs="Arial"/>
          <w:b/>
          <w:sz w:val="22"/>
          <w:szCs w:val="22"/>
        </w:rPr>
        <w:t>Tab</w:t>
      </w:r>
      <w:proofErr w:type="spellEnd"/>
      <w:r w:rsidRPr="00B95E39">
        <w:rPr>
          <w:rFonts w:ascii="Verdana" w:hAnsi="Verdana" w:cs="Arial"/>
          <w:b/>
          <w:sz w:val="22"/>
          <w:szCs w:val="22"/>
        </w:rPr>
        <w:t>. 1 - OCC secondo trim. 2013</w:t>
      </w:r>
    </w:p>
    <w:p w:rsidR="00F90EC0" w:rsidRPr="00B95E39" w:rsidRDefault="00F24BEF" w:rsidP="00F90EC0">
      <w:pPr>
        <w:jc w:val="both"/>
        <w:rPr>
          <w:rFonts w:ascii="Verdana" w:hAnsi="Verdana" w:cs="Arial"/>
          <w:b/>
          <w:sz w:val="22"/>
          <w:szCs w:val="22"/>
        </w:rPr>
      </w:pPr>
      <w:r w:rsidRPr="00B95E39">
        <w:rPr>
          <w:rFonts w:ascii="Verdana" w:hAnsi="Verdana" w:cs="Arial"/>
          <w:b/>
          <w:sz w:val="22"/>
          <w:szCs w:val="22"/>
        </w:rPr>
        <w:t>C</w:t>
      </w:r>
      <w:r w:rsidR="00F90EC0" w:rsidRPr="00B95E39">
        <w:rPr>
          <w:rFonts w:ascii="Verdana" w:hAnsi="Verdana" w:cs="Arial"/>
          <w:b/>
          <w:sz w:val="22"/>
          <w:szCs w:val="22"/>
        </w:rPr>
        <w:t>redito alle imprese del terziario di mercato</w:t>
      </w:r>
    </w:p>
    <w:tbl>
      <w:tblPr>
        <w:tblW w:w="8480" w:type="dxa"/>
        <w:tblInd w:w="55" w:type="dxa"/>
        <w:tblCellMar>
          <w:left w:w="70" w:type="dxa"/>
          <w:right w:w="70" w:type="dxa"/>
        </w:tblCellMar>
        <w:tblLook w:val="04A0" w:firstRow="1" w:lastRow="0" w:firstColumn="1" w:lastColumn="0" w:noHBand="0" w:noVBand="1"/>
      </w:tblPr>
      <w:tblGrid>
        <w:gridCol w:w="1600"/>
        <w:gridCol w:w="2300"/>
        <w:gridCol w:w="2540"/>
        <w:gridCol w:w="2040"/>
      </w:tblGrid>
      <w:tr w:rsidR="00F90EC0" w:rsidRPr="00163CB2" w:rsidTr="00326886">
        <w:trPr>
          <w:trHeight w:val="340"/>
        </w:trPr>
        <w:tc>
          <w:tcPr>
            <w:tcW w:w="1600" w:type="dxa"/>
            <w:vMerge w:val="restart"/>
            <w:tcBorders>
              <w:top w:val="single" w:sz="4" w:space="0" w:color="auto"/>
              <w:left w:val="nil"/>
              <w:bottom w:val="single" w:sz="4" w:space="0" w:color="000000"/>
              <w:right w:val="nil"/>
            </w:tcBorders>
            <w:shd w:val="clear" w:color="auto" w:fill="auto"/>
            <w:vAlign w:val="bottom"/>
          </w:tcPr>
          <w:p w:rsidR="00F90EC0" w:rsidRPr="00163CB2" w:rsidRDefault="00F90EC0" w:rsidP="00326886">
            <w:pPr>
              <w:rPr>
                <w:rFonts w:ascii="Arial" w:eastAsia="Times New Roman" w:hAnsi="Arial" w:cs="Arial"/>
                <w:b/>
                <w:bCs/>
              </w:rPr>
            </w:pPr>
            <w:r w:rsidRPr="00163CB2">
              <w:rPr>
                <w:rFonts w:ascii="Arial" w:eastAsia="Times New Roman" w:hAnsi="Arial" w:cs="Arial"/>
                <w:b/>
                <w:bCs/>
              </w:rPr>
              <w:t> </w:t>
            </w:r>
          </w:p>
        </w:tc>
        <w:tc>
          <w:tcPr>
            <w:tcW w:w="2300" w:type="dxa"/>
            <w:tcBorders>
              <w:top w:val="single" w:sz="4" w:space="0" w:color="auto"/>
              <w:left w:val="nil"/>
              <w:bottom w:val="nil"/>
              <w:right w:val="nil"/>
            </w:tcBorders>
            <w:shd w:val="clear" w:color="auto" w:fill="auto"/>
            <w:vAlign w:val="center"/>
          </w:tcPr>
          <w:p w:rsidR="00F90EC0" w:rsidRPr="00163CB2" w:rsidRDefault="00F90EC0" w:rsidP="00326886">
            <w:pPr>
              <w:jc w:val="center"/>
              <w:rPr>
                <w:rFonts w:ascii="Arial" w:eastAsia="Times New Roman" w:hAnsi="Arial" w:cs="Arial"/>
                <w:bCs/>
              </w:rPr>
            </w:pPr>
            <w:r w:rsidRPr="00163CB2">
              <w:rPr>
                <w:rFonts w:ascii="Arial" w:eastAsia="Times New Roman" w:hAnsi="Arial" w:cs="Arial"/>
                <w:bCs/>
              </w:rPr>
              <w:t xml:space="preserve">% imprese </w:t>
            </w:r>
          </w:p>
        </w:tc>
        <w:tc>
          <w:tcPr>
            <w:tcW w:w="2540" w:type="dxa"/>
            <w:tcBorders>
              <w:top w:val="single" w:sz="4" w:space="0" w:color="auto"/>
              <w:left w:val="nil"/>
              <w:bottom w:val="nil"/>
              <w:right w:val="nil"/>
            </w:tcBorders>
            <w:shd w:val="clear" w:color="auto" w:fill="auto"/>
            <w:vAlign w:val="center"/>
          </w:tcPr>
          <w:p w:rsidR="00F90EC0" w:rsidRPr="00163CB2" w:rsidRDefault="00F90EC0" w:rsidP="00326886">
            <w:pPr>
              <w:jc w:val="center"/>
              <w:rPr>
                <w:rFonts w:ascii="Arial" w:eastAsia="Times New Roman" w:hAnsi="Arial" w:cs="Arial"/>
                <w:bCs/>
              </w:rPr>
            </w:pPr>
            <w:r w:rsidRPr="00163CB2">
              <w:rPr>
                <w:rFonts w:ascii="Arial" w:eastAsia="Times New Roman" w:hAnsi="Arial" w:cs="Arial"/>
                <w:bCs/>
              </w:rPr>
              <w:t xml:space="preserve">% imprese </w:t>
            </w:r>
          </w:p>
        </w:tc>
        <w:tc>
          <w:tcPr>
            <w:tcW w:w="2040" w:type="dxa"/>
            <w:vMerge w:val="restart"/>
            <w:tcBorders>
              <w:top w:val="single" w:sz="4" w:space="0" w:color="auto"/>
              <w:left w:val="nil"/>
              <w:bottom w:val="single" w:sz="4" w:space="0" w:color="000000"/>
              <w:right w:val="nil"/>
            </w:tcBorders>
            <w:shd w:val="clear" w:color="auto" w:fill="auto"/>
            <w:vAlign w:val="center"/>
          </w:tcPr>
          <w:p w:rsidR="00F90EC0" w:rsidRPr="00163CB2" w:rsidRDefault="00F90EC0" w:rsidP="00326886">
            <w:pPr>
              <w:jc w:val="center"/>
              <w:rPr>
                <w:rFonts w:ascii="Arial" w:eastAsia="Times New Roman" w:hAnsi="Arial" w:cs="Arial"/>
                <w:bCs/>
              </w:rPr>
            </w:pPr>
            <w:r w:rsidRPr="00163CB2">
              <w:rPr>
                <w:rFonts w:ascii="Arial" w:eastAsia="Times New Roman" w:hAnsi="Arial" w:cs="Arial"/>
                <w:bCs/>
              </w:rPr>
              <w:t>% imprese finanziate</w:t>
            </w:r>
          </w:p>
        </w:tc>
      </w:tr>
      <w:tr w:rsidR="00F90EC0" w:rsidRPr="00163CB2" w:rsidTr="00326886">
        <w:trPr>
          <w:trHeight w:val="340"/>
        </w:trPr>
        <w:tc>
          <w:tcPr>
            <w:tcW w:w="1600" w:type="dxa"/>
            <w:vMerge/>
            <w:tcBorders>
              <w:top w:val="single" w:sz="4" w:space="0" w:color="auto"/>
              <w:left w:val="nil"/>
              <w:bottom w:val="single" w:sz="4" w:space="0" w:color="000000"/>
              <w:right w:val="nil"/>
            </w:tcBorders>
            <w:vAlign w:val="center"/>
          </w:tcPr>
          <w:p w:rsidR="00F90EC0" w:rsidRPr="00163CB2" w:rsidRDefault="00F90EC0" w:rsidP="00326886">
            <w:pPr>
              <w:rPr>
                <w:rFonts w:ascii="Arial" w:eastAsia="Times New Roman" w:hAnsi="Arial" w:cs="Arial"/>
                <w:b/>
                <w:bCs/>
                <w:sz w:val="24"/>
                <w:szCs w:val="24"/>
              </w:rPr>
            </w:pPr>
          </w:p>
        </w:tc>
        <w:tc>
          <w:tcPr>
            <w:tcW w:w="2300" w:type="dxa"/>
            <w:tcBorders>
              <w:top w:val="nil"/>
              <w:left w:val="nil"/>
              <w:bottom w:val="single" w:sz="4" w:space="0" w:color="auto"/>
              <w:right w:val="nil"/>
            </w:tcBorders>
            <w:shd w:val="clear" w:color="auto" w:fill="auto"/>
            <w:vAlign w:val="center"/>
          </w:tcPr>
          <w:p w:rsidR="00F90EC0" w:rsidRDefault="00F90EC0" w:rsidP="00326886">
            <w:pPr>
              <w:jc w:val="center"/>
              <w:rPr>
                <w:rFonts w:ascii="Arial" w:eastAsia="Times New Roman" w:hAnsi="Arial" w:cs="Arial"/>
                <w:bCs/>
              </w:rPr>
            </w:pPr>
            <w:r w:rsidRPr="00163CB2">
              <w:rPr>
                <w:rFonts w:ascii="Arial" w:eastAsia="Times New Roman" w:hAnsi="Arial" w:cs="Arial"/>
                <w:bCs/>
              </w:rPr>
              <w:t xml:space="preserve">che hanno </w:t>
            </w:r>
          </w:p>
          <w:p w:rsidR="00F90EC0" w:rsidRDefault="00F90EC0" w:rsidP="00326886">
            <w:pPr>
              <w:jc w:val="center"/>
              <w:rPr>
                <w:rFonts w:ascii="Arial" w:eastAsia="Times New Roman" w:hAnsi="Arial" w:cs="Arial"/>
                <w:bCs/>
              </w:rPr>
            </w:pPr>
            <w:r w:rsidRPr="00163CB2">
              <w:rPr>
                <w:rFonts w:ascii="Arial" w:eastAsia="Times New Roman" w:hAnsi="Arial" w:cs="Arial"/>
                <w:bCs/>
              </w:rPr>
              <w:t xml:space="preserve">chiesto nel </w:t>
            </w:r>
          </w:p>
          <w:p w:rsidR="00F90EC0" w:rsidRPr="00163CB2" w:rsidRDefault="00F90EC0" w:rsidP="00326886">
            <w:pPr>
              <w:jc w:val="center"/>
              <w:rPr>
                <w:rFonts w:ascii="Arial" w:eastAsia="Times New Roman" w:hAnsi="Arial" w:cs="Arial"/>
                <w:b/>
                <w:bCs/>
                <w:sz w:val="24"/>
                <w:szCs w:val="24"/>
              </w:rPr>
            </w:pPr>
            <w:r w:rsidRPr="00163CB2">
              <w:rPr>
                <w:rFonts w:ascii="Arial" w:eastAsia="Times New Roman" w:hAnsi="Arial" w:cs="Arial"/>
                <w:bCs/>
              </w:rPr>
              <w:t>trimestre</w:t>
            </w:r>
          </w:p>
        </w:tc>
        <w:tc>
          <w:tcPr>
            <w:tcW w:w="2540" w:type="dxa"/>
            <w:tcBorders>
              <w:top w:val="nil"/>
              <w:left w:val="nil"/>
              <w:bottom w:val="single" w:sz="4" w:space="0" w:color="auto"/>
              <w:right w:val="nil"/>
            </w:tcBorders>
            <w:shd w:val="clear" w:color="auto" w:fill="auto"/>
            <w:vAlign w:val="center"/>
          </w:tcPr>
          <w:p w:rsidR="00F90EC0" w:rsidRDefault="00F90EC0" w:rsidP="00326886">
            <w:pPr>
              <w:jc w:val="center"/>
              <w:rPr>
                <w:rFonts w:ascii="Arial" w:eastAsia="Times New Roman" w:hAnsi="Arial" w:cs="Arial"/>
                <w:bCs/>
              </w:rPr>
            </w:pPr>
            <w:r w:rsidRPr="00163CB2">
              <w:rPr>
                <w:rFonts w:ascii="Arial" w:eastAsia="Times New Roman" w:hAnsi="Arial" w:cs="Arial"/>
                <w:bCs/>
              </w:rPr>
              <w:t>con richiesta</w:t>
            </w:r>
          </w:p>
          <w:p w:rsidR="00F90EC0" w:rsidRPr="00163CB2" w:rsidRDefault="00F90EC0" w:rsidP="00326886">
            <w:pPr>
              <w:jc w:val="center"/>
              <w:rPr>
                <w:rFonts w:ascii="Arial" w:eastAsia="Times New Roman" w:hAnsi="Arial" w:cs="Arial"/>
                <w:bCs/>
              </w:rPr>
            </w:pPr>
            <w:r w:rsidRPr="00163CB2">
              <w:rPr>
                <w:rFonts w:ascii="Arial" w:eastAsia="Times New Roman" w:hAnsi="Arial" w:cs="Arial"/>
                <w:bCs/>
              </w:rPr>
              <w:t>accolta</w:t>
            </w:r>
          </w:p>
        </w:tc>
        <w:tc>
          <w:tcPr>
            <w:tcW w:w="2040" w:type="dxa"/>
            <w:vMerge/>
            <w:tcBorders>
              <w:top w:val="single" w:sz="4" w:space="0" w:color="auto"/>
              <w:left w:val="nil"/>
              <w:bottom w:val="single" w:sz="4" w:space="0" w:color="000000"/>
              <w:right w:val="nil"/>
            </w:tcBorders>
            <w:vAlign w:val="center"/>
          </w:tcPr>
          <w:p w:rsidR="00F90EC0" w:rsidRPr="00163CB2" w:rsidRDefault="00F90EC0" w:rsidP="00326886">
            <w:pPr>
              <w:rPr>
                <w:rFonts w:ascii="Arial" w:eastAsia="Times New Roman" w:hAnsi="Arial" w:cs="Arial"/>
                <w:b/>
                <w:bCs/>
                <w:sz w:val="24"/>
                <w:szCs w:val="24"/>
              </w:rPr>
            </w:pP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II   trim. 2009</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34,6</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64,2</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22,2</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II   trim. 2010</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22,3</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55,1</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12,3</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II   trim. 2011</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22,4</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55,8</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12,5</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    trim. 2012</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18,7</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34,2</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6,4</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II   trim. 2012</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20,8</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38,5</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8,0</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III   trim. 2012</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15,7</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31,5</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4,9</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IV   trim. 2012</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14,0</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30,2</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4,2</w:t>
            </w:r>
          </w:p>
        </w:tc>
      </w:tr>
      <w:tr w:rsidR="00F90EC0" w:rsidRPr="00163CB2" w:rsidTr="00326886">
        <w:trPr>
          <w:trHeight w:val="340"/>
        </w:trPr>
        <w:tc>
          <w:tcPr>
            <w:tcW w:w="16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    trim. 2013</w:t>
            </w:r>
          </w:p>
        </w:tc>
        <w:tc>
          <w:tcPr>
            <w:tcW w:w="230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11,5</w:t>
            </w:r>
          </w:p>
        </w:tc>
        <w:tc>
          <w:tcPr>
            <w:tcW w:w="25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29,6</w:t>
            </w:r>
          </w:p>
        </w:tc>
        <w:tc>
          <w:tcPr>
            <w:tcW w:w="2040" w:type="dxa"/>
            <w:tcBorders>
              <w:top w:val="nil"/>
              <w:left w:val="nil"/>
              <w:bottom w:val="nil"/>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3,4</w:t>
            </w:r>
          </w:p>
        </w:tc>
      </w:tr>
      <w:tr w:rsidR="00F90EC0" w:rsidRPr="00163CB2" w:rsidTr="00326886">
        <w:trPr>
          <w:trHeight w:val="340"/>
        </w:trPr>
        <w:tc>
          <w:tcPr>
            <w:tcW w:w="1600" w:type="dxa"/>
            <w:tcBorders>
              <w:top w:val="nil"/>
              <w:left w:val="nil"/>
              <w:bottom w:val="single" w:sz="4" w:space="0" w:color="auto"/>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II   trim. 2013</w:t>
            </w:r>
          </w:p>
        </w:tc>
        <w:tc>
          <w:tcPr>
            <w:tcW w:w="2300" w:type="dxa"/>
            <w:tcBorders>
              <w:top w:val="nil"/>
              <w:left w:val="nil"/>
              <w:bottom w:val="single" w:sz="4" w:space="0" w:color="auto"/>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10,8</w:t>
            </w:r>
          </w:p>
        </w:tc>
        <w:tc>
          <w:tcPr>
            <w:tcW w:w="2540" w:type="dxa"/>
            <w:tcBorders>
              <w:top w:val="nil"/>
              <w:left w:val="nil"/>
              <w:bottom w:val="single" w:sz="4" w:space="0" w:color="auto"/>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26,9</w:t>
            </w:r>
          </w:p>
        </w:tc>
        <w:tc>
          <w:tcPr>
            <w:tcW w:w="2040" w:type="dxa"/>
            <w:tcBorders>
              <w:top w:val="nil"/>
              <w:left w:val="nil"/>
              <w:bottom w:val="single" w:sz="4" w:space="0" w:color="auto"/>
              <w:right w:val="nil"/>
            </w:tcBorders>
            <w:shd w:val="clear" w:color="auto" w:fill="auto"/>
            <w:vAlign w:val="center"/>
          </w:tcPr>
          <w:p w:rsidR="00F90EC0" w:rsidRPr="00326886" w:rsidRDefault="00F90EC0" w:rsidP="00326886">
            <w:pPr>
              <w:jc w:val="center"/>
              <w:rPr>
                <w:rFonts w:ascii="Arial" w:eastAsia="Times New Roman" w:hAnsi="Arial" w:cs="Arial"/>
                <w:sz w:val="22"/>
                <w:szCs w:val="22"/>
              </w:rPr>
            </w:pPr>
            <w:r w:rsidRPr="00326886">
              <w:rPr>
                <w:rFonts w:ascii="Arial" w:eastAsia="Times New Roman" w:hAnsi="Arial" w:cs="Arial"/>
                <w:sz w:val="22"/>
                <w:szCs w:val="22"/>
              </w:rPr>
              <w:t>2,9</w:t>
            </w:r>
          </w:p>
        </w:tc>
      </w:tr>
    </w:tbl>
    <w:p w:rsidR="00326886" w:rsidRPr="00F24BEF" w:rsidRDefault="00F24BEF" w:rsidP="00326886">
      <w:pPr>
        <w:pStyle w:val="StileRapporto"/>
        <w:spacing w:line="240" w:lineRule="auto"/>
        <w:rPr>
          <w:rFonts w:cs="Arial"/>
          <w:bCs/>
          <w:i/>
        </w:rPr>
      </w:pPr>
      <w:r w:rsidRPr="00F24BEF">
        <w:rPr>
          <w:rFonts w:cs="Arial"/>
          <w:bCs/>
          <w:i/>
        </w:rPr>
        <w:t>Fonte: Confcommercio-Format ricerche</w:t>
      </w:r>
    </w:p>
    <w:p w:rsidR="00326886" w:rsidRPr="00B95E39" w:rsidRDefault="00326886" w:rsidP="00326886">
      <w:pPr>
        <w:pStyle w:val="StileRapporto"/>
        <w:spacing w:line="240" w:lineRule="auto"/>
        <w:rPr>
          <w:rFonts w:cs="Arial"/>
          <w:bCs/>
          <w:sz w:val="22"/>
          <w:szCs w:val="22"/>
        </w:rPr>
      </w:pPr>
    </w:p>
    <w:p w:rsidR="00F24BEF" w:rsidRPr="00B95E39" w:rsidRDefault="00F24BEF" w:rsidP="00326886">
      <w:pPr>
        <w:pStyle w:val="StileRapporto"/>
        <w:spacing w:line="240" w:lineRule="auto"/>
        <w:rPr>
          <w:rFonts w:cs="Arial"/>
          <w:bCs/>
          <w:sz w:val="22"/>
          <w:szCs w:val="22"/>
        </w:rPr>
      </w:pPr>
    </w:p>
    <w:p w:rsidR="00F90EC0" w:rsidRPr="00B95E39" w:rsidRDefault="00F90EC0" w:rsidP="00326886">
      <w:pPr>
        <w:pStyle w:val="StileRapporto"/>
        <w:spacing w:line="240" w:lineRule="auto"/>
        <w:rPr>
          <w:rFonts w:cs="Arial"/>
          <w:bCs/>
          <w:sz w:val="22"/>
          <w:szCs w:val="22"/>
        </w:rPr>
      </w:pPr>
      <w:r w:rsidRPr="00B95E39">
        <w:rPr>
          <w:rFonts w:cs="Arial"/>
          <w:bCs/>
          <w:sz w:val="22"/>
          <w:szCs w:val="22"/>
        </w:rPr>
        <w:t>A rendere più problematico lo scenario c’è l’evidenza di una nuova contrazione della quota di imprese del terziario di mercato che si rivolge al sistema bancario per un finanziamento. Rispetto a un anno fa, la frazione di imprese richiedenti credito è scesa dal 20,8% al 10,8% (</w:t>
      </w:r>
      <w:proofErr w:type="spellStart"/>
      <w:r w:rsidRPr="00B95E39">
        <w:rPr>
          <w:rFonts w:cs="Arial"/>
          <w:bCs/>
          <w:sz w:val="22"/>
          <w:szCs w:val="22"/>
        </w:rPr>
        <w:t>tab</w:t>
      </w:r>
      <w:proofErr w:type="spellEnd"/>
      <w:r w:rsidRPr="00B95E39">
        <w:rPr>
          <w:rFonts w:cs="Arial"/>
          <w:bCs/>
          <w:sz w:val="22"/>
          <w:szCs w:val="22"/>
        </w:rPr>
        <w:t>. 1). Moltiplicando la quota delle richiedenti per la frazione di richieste accolte si ottiene il tasso effettivo di finanziamento delle imprese del terziario di mercato, sceso al 2,9%.</w:t>
      </w:r>
    </w:p>
    <w:p w:rsidR="00F90EC0" w:rsidRDefault="00F90EC0" w:rsidP="00326886">
      <w:pPr>
        <w:pStyle w:val="StileRapporto"/>
        <w:spacing w:line="240" w:lineRule="auto"/>
        <w:rPr>
          <w:rFonts w:cs="Arial"/>
          <w:bCs/>
          <w:sz w:val="22"/>
          <w:szCs w:val="22"/>
        </w:rPr>
      </w:pPr>
      <w:r w:rsidRPr="00B95E39">
        <w:rPr>
          <w:rFonts w:cs="Arial"/>
          <w:bCs/>
          <w:sz w:val="22"/>
          <w:szCs w:val="22"/>
        </w:rPr>
        <w:t xml:space="preserve">Questo profilo conferma le attese di un secondo trimestre del Pil ancora negativo tanto su base tendenziale quanto su base congiunturale. Inoltre, le evidenze dell’OCC suggeriscono l’ipotesi che anche per il 2013 la componente più negativa del conto degli impieghi finali </w:t>
      </w:r>
      <w:r w:rsidRPr="00B95E39">
        <w:rPr>
          <w:rFonts w:cs="Arial"/>
          <w:bCs/>
          <w:sz w:val="22"/>
          <w:szCs w:val="22"/>
        </w:rPr>
        <w:lastRenderedPageBreak/>
        <w:t xml:space="preserve">possa essere proprio la voce degli investimenti produttivi: il credit </w:t>
      </w:r>
      <w:proofErr w:type="spellStart"/>
      <w:r w:rsidRPr="00B95E39">
        <w:rPr>
          <w:rFonts w:cs="Arial"/>
          <w:bCs/>
          <w:sz w:val="22"/>
          <w:szCs w:val="22"/>
        </w:rPr>
        <w:t>crunch</w:t>
      </w:r>
      <w:proofErr w:type="spellEnd"/>
      <w:r w:rsidRPr="00B95E39">
        <w:rPr>
          <w:rFonts w:cs="Arial"/>
          <w:bCs/>
          <w:sz w:val="22"/>
          <w:szCs w:val="22"/>
        </w:rPr>
        <w:t xml:space="preserve"> non è estraneo a queste eventuali risultanze.</w:t>
      </w:r>
    </w:p>
    <w:p w:rsidR="00404F1B" w:rsidRPr="005869A1" w:rsidRDefault="005869A1" w:rsidP="00404F1B">
      <w:pPr>
        <w:pStyle w:val="NormaleWeb"/>
        <w:shd w:val="clear" w:color="auto" w:fill="FFFFFF"/>
        <w:spacing w:before="0" w:beforeAutospacing="0" w:after="0"/>
        <w:jc w:val="both"/>
        <w:rPr>
          <w:rFonts w:ascii="Verdana" w:hAnsi="Verdana" w:cs="Arial"/>
          <w:bCs/>
          <w:sz w:val="22"/>
          <w:szCs w:val="22"/>
        </w:rPr>
      </w:pPr>
      <w:r w:rsidRPr="005869A1">
        <w:rPr>
          <w:rFonts w:ascii="Verdana" w:hAnsi="Verdana" w:cs="Arial"/>
          <w:bCs/>
          <w:sz w:val="22"/>
          <w:szCs w:val="22"/>
        </w:rPr>
        <w:t xml:space="preserve">A questo proposito, </w:t>
      </w:r>
      <w:r w:rsidR="00404F1B">
        <w:rPr>
          <w:rFonts w:ascii="Verdana" w:hAnsi="Verdana" w:cs="Arial"/>
          <w:bCs/>
          <w:sz w:val="22"/>
          <w:szCs w:val="22"/>
        </w:rPr>
        <w:t>infatti, dall’indagine emerge che r</w:t>
      </w:r>
      <w:r w:rsidR="00404F1B" w:rsidRPr="005869A1">
        <w:rPr>
          <w:rFonts w:ascii="Verdana" w:hAnsi="Verdana" w:cs="Arial"/>
          <w:bCs/>
          <w:sz w:val="22"/>
          <w:szCs w:val="22"/>
        </w:rPr>
        <w:t xml:space="preserve">ispetto ad eventuali investimenti in programma nei prossimi 24 mesi, </w:t>
      </w:r>
      <w:r w:rsidR="00404F1B">
        <w:rPr>
          <w:rFonts w:ascii="Verdana" w:hAnsi="Verdana" w:cs="Arial"/>
          <w:bCs/>
          <w:sz w:val="22"/>
          <w:szCs w:val="22"/>
        </w:rPr>
        <w:t xml:space="preserve">solo </w:t>
      </w:r>
      <w:r w:rsidR="00404F1B" w:rsidRPr="005869A1">
        <w:rPr>
          <w:rFonts w:ascii="Verdana" w:hAnsi="Verdana" w:cs="Arial"/>
          <w:bCs/>
          <w:sz w:val="22"/>
          <w:szCs w:val="22"/>
        </w:rPr>
        <w:t>il 16,6</w:t>
      </w:r>
      <w:r w:rsidR="00404F1B">
        <w:rPr>
          <w:rFonts w:ascii="Verdana" w:hAnsi="Verdana" w:cs="Arial"/>
          <w:bCs/>
          <w:sz w:val="22"/>
          <w:szCs w:val="22"/>
        </w:rPr>
        <w:t>%</w:t>
      </w:r>
      <w:r w:rsidR="00404F1B" w:rsidRPr="005869A1">
        <w:rPr>
          <w:rFonts w:ascii="Verdana" w:hAnsi="Verdana" w:cs="Arial"/>
          <w:bCs/>
          <w:sz w:val="22"/>
          <w:szCs w:val="22"/>
        </w:rPr>
        <w:t xml:space="preserve"> delle imprese del terziario dichiara che li effettuerà, contro l'83,4</w:t>
      </w:r>
      <w:r w:rsidR="00404F1B">
        <w:rPr>
          <w:rFonts w:ascii="Verdana" w:hAnsi="Verdana" w:cs="Arial"/>
          <w:bCs/>
          <w:sz w:val="22"/>
          <w:szCs w:val="22"/>
        </w:rPr>
        <w:t>%</w:t>
      </w:r>
      <w:r w:rsidR="00404F1B" w:rsidRPr="005869A1">
        <w:rPr>
          <w:rFonts w:ascii="Verdana" w:hAnsi="Verdana" w:cs="Arial"/>
          <w:bCs/>
          <w:sz w:val="22"/>
          <w:szCs w:val="22"/>
        </w:rPr>
        <w:t xml:space="preserve"> che afferm</w:t>
      </w:r>
      <w:r w:rsidR="00404F1B">
        <w:rPr>
          <w:rFonts w:ascii="Verdana" w:hAnsi="Verdana" w:cs="Arial"/>
          <w:bCs/>
          <w:sz w:val="22"/>
          <w:szCs w:val="22"/>
        </w:rPr>
        <w:t>a di non volerne effettuare.</w:t>
      </w:r>
    </w:p>
    <w:p w:rsidR="00F90EC0" w:rsidRPr="00B95E39" w:rsidRDefault="00F90EC0" w:rsidP="00326886">
      <w:pPr>
        <w:pStyle w:val="StileRapporto"/>
        <w:spacing w:line="240" w:lineRule="auto"/>
        <w:rPr>
          <w:rFonts w:cs="Arial"/>
          <w:bCs/>
          <w:sz w:val="22"/>
          <w:szCs w:val="22"/>
        </w:rPr>
      </w:pPr>
      <w:r w:rsidRPr="00B95E39">
        <w:rPr>
          <w:rFonts w:cs="Arial"/>
          <w:bCs/>
          <w:sz w:val="22"/>
          <w:szCs w:val="22"/>
        </w:rPr>
        <w:t xml:space="preserve">I dati dell'Osservatorio Confcommercio sono coerenti </w:t>
      </w:r>
      <w:r w:rsidR="00F24BEF" w:rsidRPr="00B95E39">
        <w:rPr>
          <w:rFonts w:cs="Arial"/>
          <w:bCs/>
          <w:sz w:val="22"/>
          <w:szCs w:val="22"/>
        </w:rPr>
        <w:t xml:space="preserve">anche </w:t>
      </w:r>
      <w:r w:rsidRPr="00B95E39">
        <w:rPr>
          <w:rFonts w:cs="Arial"/>
          <w:bCs/>
          <w:sz w:val="22"/>
          <w:szCs w:val="22"/>
        </w:rPr>
        <w:t>con l'indagine effettuata dalla Banca d'Italia presso i principali banchieri (fig. 1).</w:t>
      </w:r>
    </w:p>
    <w:p w:rsidR="00F90EC0" w:rsidRPr="00B95E39" w:rsidRDefault="00F90EC0" w:rsidP="00326886">
      <w:pPr>
        <w:pStyle w:val="StileRapporto"/>
        <w:spacing w:line="240" w:lineRule="auto"/>
        <w:rPr>
          <w:rFonts w:cs="Arial"/>
          <w:bCs/>
          <w:sz w:val="22"/>
          <w:szCs w:val="22"/>
        </w:rPr>
      </w:pPr>
      <w:r w:rsidRPr="00B95E39">
        <w:rPr>
          <w:rFonts w:cs="Arial"/>
          <w:bCs/>
          <w:sz w:val="22"/>
          <w:szCs w:val="22"/>
        </w:rPr>
        <w:t xml:space="preserve">L’indice BLS modificato </w:t>
      </w:r>
      <w:r w:rsidR="00420361" w:rsidRPr="00B95E39">
        <w:rPr>
          <w:rFonts w:cs="Arial"/>
          <w:bCs/>
          <w:sz w:val="22"/>
          <w:szCs w:val="22"/>
        </w:rPr>
        <w:t>(</w:t>
      </w:r>
      <w:proofErr w:type="spellStart"/>
      <w:r w:rsidR="00420361" w:rsidRPr="00B95E39">
        <w:rPr>
          <w:rFonts w:cs="Arial"/>
          <w:bCs/>
          <w:sz w:val="22"/>
          <w:szCs w:val="22"/>
        </w:rPr>
        <w:t>Bank</w:t>
      </w:r>
      <w:proofErr w:type="spellEnd"/>
      <w:r w:rsidR="00420361" w:rsidRPr="00B95E39">
        <w:rPr>
          <w:rFonts w:cs="Arial"/>
          <w:bCs/>
          <w:sz w:val="22"/>
          <w:szCs w:val="22"/>
        </w:rPr>
        <w:t xml:space="preserve"> </w:t>
      </w:r>
      <w:proofErr w:type="spellStart"/>
      <w:r w:rsidR="00420361" w:rsidRPr="00B95E39">
        <w:rPr>
          <w:rFonts w:cs="Arial"/>
          <w:bCs/>
          <w:sz w:val="22"/>
          <w:szCs w:val="22"/>
        </w:rPr>
        <w:t>Lending</w:t>
      </w:r>
      <w:proofErr w:type="spellEnd"/>
      <w:r w:rsidR="00420361" w:rsidRPr="00B95E39">
        <w:rPr>
          <w:rFonts w:cs="Arial"/>
          <w:bCs/>
          <w:sz w:val="22"/>
          <w:szCs w:val="22"/>
        </w:rPr>
        <w:t xml:space="preserve"> </w:t>
      </w:r>
      <w:proofErr w:type="spellStart"/>
      <w:r w:rsidR="00420361" w:rsidRPr="00B95E39">
        <w:rPr>
          <w:rFonts w:cs="Arial"/>
          <w:bCs/>
          <w:sz w:val="22"/>
          <w:szCs w:val="22"/>
        </w:rPr>
        <w:t>Survey</w:t>
      </w:r>
      <w:proofErr w:type="spellEnd"/>
      <w:r w:rsidR="00420361" w:rsidRPr="00B95E39">
        <w:rPr>
          <w:rFonts w:cs="Arial"/>
          <w:bCs/>
          <w:sz w:val="22"/>
          <w:szCs w:val="22"/>
        </w:rPr>
        <w:t xml:space="preserve">) </w:t>
      </w:r>
      <w:r w:rsidRPr="00B95E39">
        <w:rPr>
          <w:rFonts w:cs="Arial"/>
          <w:bCs/>
          <w:sz w:val="22"/>
          <w:szCs w:val="22"/>
        </w:rPr>
        <w:t>indica un ulteriore irrigidimento delle condizioni di credito per le aziende in coerenza con l’indicatore OCC che raggiunge il minimo assoluto in termini di frazione di richieste accolte.</w:t>
      </w:r>
    </w:p>
    <w:p w:rsidR="00F90EC0" w:rsidRPr="00B95E39" w:rsidRDefault="00F90EC0" w:rsidP="00326886">
      <w:pPr>
        <w:pStyle w:val="StileRapporto"/>
        <w:spacing w:line="240" w:lineRule="auto"/>
        <w:rPr>
          <w:rFonts w:cs="Arial"/>
          <w:bCs/>
          <w:sz w:val="22"/>
          <w:szCs w:val="22"/>
        </w:rPr>
      </w:pPr>
    </w:p>
    <w:p w:rsidR="00F24BEF" w:rsidRPr="00B95E39" w:rsidRDefault="00F24BEF" w:rsidP="00326886">
      <w:pPr>
        <w:pStyle w:val="StileRapporto"/>
        <w:spacing w:line="240" w:lineRule="auto"/>
        <w:rPr>
          <w:rFonts w:cs="Arial"/>
          <w:bCs/>
          <w:sz w:val="22"/>
          <w:szCs w:val="22"/>
        </w:rPr>
      </w:pPr>
    </w:p>
    <w:p w:rsidR="00F90EC0" w:rsidRPr="00B95E39" w:rsidRDefault="00F90EC0" w:rsidP="00F90EC0">
      <w:pPr>
        <w:jc w:val="both"/>
        <w:rPr>
          <w:rFonts w:ascii="Verdana" w:hAnsi="Verdana" w:cs="Arial"/>
          <w:b/>
          <w:sz w:val="22"/>
          <w:szCs w:val="22"/>
        </w:rPr>
      </w:pPr>
      <w:r w:rsidRPr="00B95E39">
        <w:rPr>
          <w:rFonts w:ascii="Verdana" w:hAnsi="Verdana" w:cs="Arial"/>
          <w:b/>
          <w:sz w:val="22"/>
          <w:szCs w:val="22"/>
        </w:rPr>
        <w:t>Fig. 1 - Indice BLS modificato e indice OCC</w:t>
      </w:r>
    </w:p>
    <w:p w:rsidR="00F90EC0" w:rsidRDefault="00F90EC0" w:rsidP="00F90EC0">
      <w:pPr>
        <w:pStyle w:val="StileRapporto"/>
        <w:rPr>
          <w:rFonts w:ascii="Arial" w:hAnsi="Arial" w:cs="Arial"/>
          <w:bCs/>
          <w:sz w:val="24"/>
          <w:szCs w:val="24"/>
        </w:rPr>
      </w:pPr>
      <w:r>
        <w:rPr>
          <w:rFonts w:ascii="Arial" w:hAnsi="Arial" w:cs="Arial"/>
          <w:bCs/>
          <w:noProof/>
          <w:sz w:val="24"/>
          <w:szCs w:val="24"/>
        </w:rPr>
        <w:drawing>
          <wp:inline distT="0" distB="0" distL="0" distR="0">
            <wp:extent cx="5438775" cy="3105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3105150"/>
                    </a:xfrm>
                    <a:prstGeom prst="rect">
                      <a:avLst/>
                    </a:prstGeom>
                    <a:noFill/>
                    <a:ln>
                      <a:noFill/>
                    </a:ln>
                  </pic:spPr>
                </pic:pic>
              </a:graphicData>
            </a:graphic>
          </wp:inline>
        </w:drawing>
      </w:r>
    </w:p>
    <w:p w:rsidR="00326886" w:rsidRPr="00F24BEF" w:rsidRDefault="00F24BEF" w:rsidP="00326886">
      <w:pPr>
        <w:pStyle w:val="StileRapporto"/>
        <w:spacing w:line="240" w:lineRule="auto"/>
        <w:rPr>
          <w:rFonts w:cs="Arial"/>
          <w:bCs/>
          <w:i/>
        </w:rPr>
      </w:pPr>
      <w:r w:rsidRPr="00F24BEF">
        <w:rPr>
          <w:rFonts w:cs="Arial"/>
          <w:bCs/>
          <w:i/>
        </w:rPr>
        <w:t xml:space="preserve">Fonte: </w:t>
      </w:r>
      <w:r>
        <w:rPr>
          <w:rFonts w:cs="Arial"/>
          <w:bCs/>
          <w:i/>
        </w:rPr>
        <w:t xml:space="preserve">elaborazioni Ufficio Studi </w:t>
      </w:r>
      <w:r w:rsidRPr="00F24BEF">
        <w:rPr>
          <w:rFonts w:cs="Arial"/>
          <w:bCs/>
          <w:i/>
        </w:rPr>
        <w:t>Confcommerci</w:t>
      </w:r>
      <w:r>
        <w:rPr>
          <w:rFonts w:cs="Arial"/>
          <w:bCs/>
          <w:i/>
        </w:rPr>
        <w:t>o</w:t>
      </w:r>
      <w:r w:rsidR="00376D9E">
        <w:rPr>
          <w:rFonts w:cs="Arial"/>
          <w:bCs/>
          <w:i/>
        </w:rPr>
        <w:t xml:space="preserve">, </w:t>
      </w:r>
      <w:proofErr w:type="spellStart"/>
      <w:r w:rsidR="00376D9E">
        <w:rPr>
          <w:rFonts w:cs="Arial"/>
          <w:bCs/>
          <w:i/>
        </w:rPr>
        <w:t>Bankitalia</w:t>
      </w:r>
      <w:proofErr w:type="spellEnd"/>
    </w:p>
    <w:p w:rsidR="00F24BEF" w:rsidRPr="00B95E39" w:rsidRDefault="00F24BEF" w:rsidP="009B5EC4">
      <w:pPr>
        <w:pStyle w:val="StileRapporto"/>
        <w:spacing w:line="240" w:lineRule="auto"/>
        <w:rPr>
          <w:rFonts w:cs="Arial"/>
          <w:bCs/>
          <w:sz w:val="22"/>
          <w:szCs w:val="22"/>
        </w:rPr>
      </w:pPr>
    </w:p>
    <w:p w:rsidR="00F90EC0" w:rsidRPr="00B95E39" w:rsidRDefault="00F90EC0" w:rsidP="009B5EC4">
      <w:pPr>
        <w:pStyle w:val="Corpotesto"/>
        <w:autoSpaceDE w:val="0"/>
        <w:autoSpaceDN w:val="0"/>
        <w:adjustRightInd w:val="0"/>
        <w:rPr>
          <w:rFonts w:ascii="Verdana" w:hAnsi="Verdana"/>
          <w:b/>
          <w:sz w:val="22"/>
          <w:szCs w:val="22"/>
        </w:rPr>
      </w:pPr>
    </w:p>
    <w:p w:rsidR="009B5EC4" w:rsidRPr="00B95E39" w:rsidRDefault="009B5EC4" w:rsidP="009B5EC4">
      <w:pPr>
        <w:pStyle w:val="StileRapporto"/>
        <w:spacing w:line="240" w:lineRule="auto"/>
        <w:rPr>
          <w:rFonts w:cs="Arial"/>
          <w:b/>
          <w:bCs/>
          <w:sz w:val="22"/>
          <w:szCs w:val="22"/>
        </w:rPr>
      </w:pPr>
      <w:r w:rsidRPr="00B95E39">
        <w:rPr>
          <w:rFonts w:cs="Arial"/>
          <w:b/>
          <w:bCs/>
          <w:sz w:val="22"/>
          <w:szCs w:val="22"/>
        </w:rPr>
        <w:t>Tassi di interesse e altre condizioni</w:t>
      </w:r>
    </w:p>
    <w:p w:rsidR="009B5EC4" w:rsidRPr="00B95E39" w:rsidRDefault="009B5EC4" w:rsidP="009B5EC4">
      <w:pPr>
        <w:pStyle w:val="NormaleWeb"/>
        <w:shd w:val="clear" w:color="auto" w:fill="FFFFFF"/>
        <w:spacing w:before="0" w:beforeAutospacing="0" w:after="0"/>
        <w:jc w:val="both"/>
        <w:rPr>
          <w:rFonts w:ascii="Verdana" w:hAnsi="Verdana" w:cs="Arial"/>
          <w:bCs/>
          <w:sz w:val="22"/>
          <w:szCs w:val="22"/>
        </w:rPr>
      </w:pPr>
      <w:r w:rsidRPr="00B95E39">
        <w:rPr>
          <w:rFonts w:ascii="Verdana" w:hAnsi="Verdana" w:cs="Arial"/>
          <w:bCs/>
          <w:sz w:val="22"/>
          <w:szCs w:val="22"/>
        </w:rPr>
        <w:t>Peggiora ulteriormente, nel secondo trimestre del 2013, l'indice riferito al tasso di interesse applicato, con un saldo pari a -50,9, contro -44,4 del periodo precedente. Le imprese che hanno affermato che la situazione è migliorata sono lo 0,7 per cento, quelle che ritengono che la situazione sia rimasta invariata sono il 47,7 per cento, mentre le imprese che riscontrano un peggioramento sono il 51,6 per cento.</w:t>
      </w:r>
    </w:p>
    <w:p w:rsidR="009B5EC4" w:rsidRPr="00B95E39" w:rsidRDefault="009B5EC4" w:rsidP="009B5EC4">
      <w:pPr>
        <w:pStyle w:val="NormaleWeb"/>
        <w:shd w:val="clear" w:color="auto" w:fill="FFFFFF"/>
        <w:spacing w:before="0" w:beforeAutospacing="0" w:after="0"/>
        <w:jc w:val="both"/>
        <w:rPr>
          <w:rFonts w:ascii="Aller" w:hAnsi="Aller" w:cs="Arial"/>
          <w:color w:val="000000"/>
          <w:sz w:val="22"/>
          <w:szCs w:val="22"/>
        </w:rPr>
      </w:pPr>
      <w:r w:rsidRPr="00B95E39">
        <w:rPr>
          <w:rFonts w:ascii="Verdana" w:hAnsi="Verdana" w:cs="Arial"/>
          <w:bCs/>
          <w:sz w:val="22"/>
          <w:szCs w:val="22"/>
        </w:rPr>
        <w:t>Analogamente peggiorano, rispetto a quanto registrato nel trimestre precedente, i giudizi delle imprese del terziario circa le altre condizioni applicate dalle banche. Le imprese che ritengono che la situazione è migliorata sono lo 0,1%, quelle che affermano che è rimasta invariata sono il 46,3 per cento, mentre le imprese che dichiarano che la situazione è peggiorata sono il 53,5 per cento.</w:t>
      </w:r>
    </w:p>
    <w:p w:rsidR="009B5EC4" w:rsidRPr="00B95E39" w:rsidRDefault="009B5EC4" w:rsidP="009B5EC4">
      <w:pPr>
        <w:pStyle w:val="NormaleWeb"/>
        <w:shd w:val="clear" w:color="auto" w:fill="FFFFFF"/>
        <w:spacing w:before="0" w:beforeAutospacing="0" w:after="0"/>
        <w:jc w:val="both"/>
        <w:rPr>
          <w:rFonts w:ascii="Aller" w:hAnsi="Aller" w:cs="Arial"/>
          <w:color w:val="000000"/>
          <w:sz w:val="22"/>
          <w:szCs w:val="22"/>
        </w:rPr>
      </w:pPr>
      <w:r w:rsidRPr="00B95E39">
        <w:rPr>
          <w:rFonts w:ascii="Verdana" w:hAnsi="Verdana" w:cs="Arial"/>
          <w:bCs/>
          <w:sz w:val="22"/>
          <w:szCs w:val="22"/>
        </w:rPr>
        <w:t>In</w:t>
      </w:r>
      <w:r w:rsidR="00B95E39">
        <w:rPr>
          <w:rFonts w:ascii="Verdana" w:hAnsi="Verdana" w:cs="Arial"/>
          <w:bCs/>
          <w:sz w:val="22"/>
          <w:szCs w:val="22"/>
        </w:rPr>
        <w:t>oltre,</w:t>
      </w:r>
      <w:r w:rsidRPr="00B95E39">
        <w:rPr>
          <w:rFonts w:ascii="Verdana" w:hAnsi="Verdana" w:cs="Arial"/>
          <w:bCs/>
          <w:sz w:val="22"/>
          <w:szCs w:val="22"/>
        </w:rPr>
        <w:t xml:space="preserve"> le imprese segnalano un peggioramento per quanto riguarda la durata del credito, le condizioni relative alle garanzie richieste dalle banche a copertura dei finanziamenti o degli affidamenti concessi, il costo dei servizi bancari</w:t>
      </w:r>
      <w:r w:rsidR="00B95E39">
        <w:rPr>
          <w:rFonts w:ascii="Verdana" w:hAnsi="Verdana" w:cs="Arial"/>
          <w:bCs/>
          <w:sz w:val="22"/>
          <w:szCs w:val="22"/>
        </w:rPr>
        <w:t>.</w:t>
      </w:r>
    </w:p>
    <w:p w:rsidR="009B5EC4" w:rsidRDefault="009B5EC4" w:rsidP="009B5EC4">
      <w:pPr>
        <w:autoSpaceDE w:val="0"/>
        <w:autoSpaceDN w:val="0"/>
        <w:adjustRightInd w:val="0"/>
        <w:jc w:val="both"/>
        <w:rPr>
          <w:rFonts w:ascii="Verdana" w:hAnsi="Verdana" w:cs="ArialMT"/>
          <w:sz w:val="24"/>
          <w:szCs w:val="24"/>
        </w:rPr>
      </w:pPr>
    </w:p>
    <w:p w:rsidR="000D4094" w:rsidRDefault="000D4094" w:rsidP="009B5EC4">
      <w:pPr>
        <w:autoSpaceDE w:val="0"/>
        <w:autoSpaceDN w:val="0"/>
        <w:adjustRightInd w:val="0"/>
        <w:jc w:val="both"/>
        <w:rPr>
          <w:rFonts w:ascii="Verdana" w:hAnsi="Verdana" w:cs="ArialMT"/>
          <w:sz w:val="24"/>
          <w:szCs w:val="24"/>
        </w:rPr>
      </w:pPr>
    </w:p>
    <w:p w:rsidR="002F64F8" w:rsidRDefault="009B5EC4" w:rsidP="00326886">
      <w:pPr>
        <w:autoSpaceDE w:val="0"/>
        <w:autoSpaceDN w:val="0"/>
        <w:adjustRightInd w:val="0"/>
        <w:jc w:val="both"/>
        <w:rPr>
          <w:rFonts w:ascii="Verdana" w:hAnsi="Verdana" w:cs="ArialMT"/>
          <w:sz w:val="24"/>
          <w:szCs w:val="24"/>
        </w:rPr>
      </w:pPr>
      <w:r>
        <w:rPr>
          <w:rFonts w:ascii="Verdana" w:hAnsi="Verdana" w:cs="ArialMT"/>
          <w:sz w:val="24"/>
          <w:szCs w:val="24"/>
        </w:rPr>
        <w:t>______________________</w:t>
      </w:r>
    </w:p>
    <w:p w:rsidR="002F64F8" w:rsidRPr="002F64F8" w:rsidRDefault="002F64F8" w:rsidP="00326886">
      <w:pPr>
        <w:autoSpaceDE w:val="0"/>
        <w:autoSpaceDN w:val="0"/>
        <w:adjustRightInd w:val="0"/>
        <w:jc w:val="both"/>
        <w:rPr>
          <w:rFonts w:ascii="Verdana" w:hAnsi="Verdana" w:cs="ArialMT"/>
          <w:b/>
          <w:sz w:val="20"/>
        </w:rPr>
      </w:pPr>
      <w:r w:rsidRPr="002F64F8">
        <w:rPr>
          <w:rFonts w:ascii="Verdana" w:hAnsi="Verdana" w:cs="ArialMT"/>
          <w:b/>
          <w:sz w:val="20"/>
        </w:rPr>
        <w:t>Nota metodologica</w:t>
      </w:r>
    </w:p>
    <w:p w:rsidR="002F64F8" w:rsidRPr="002F64F8" w:rsidRDefault="002F64F8" w:rsidP="00326886">
      <w:pPr>
        <w:autoSpaceDE w:val="0"/>
        <w:autoSpaceDN w:val="0"/>
        <w:adjustRightInd w:val="0"/>
        <w:jc w:val="both"/>
        <w:rPr>
          <w:rFonts w:ascii="Verdana" w:hAnsi="Verdana" w:cs="ArialMT"/>
          <w:sz w:val="20"/>
        </w:rPr>
      </w:pPr>
    </w:p>
    <w:p w:rsidR="002F64F8" w:rsidRPr="002F64F8" w:rsidRDefault="002F64F8" w:rsidP="002F64F8">
      <w:pPr>
        <w:autoSpaceDE w:val="0"/>
        <w:autoSpaceDN w:val="0"/>
        <w:adjustRightInd w:val="0"/>
        <w:jc w:val="both"/>
        <w:rPr>
          <w:rFonts w:ascii="Verdana" w:hAnsi="Verdana" w:cs="ArialMT"/>
          <w:sz w:val="20"/>
        </w:rPr>
      </w:pPr>
      <w:r w:rsidRPr="002F64F8">
        <w:rPr>
          <w:rFonts w:ascii="Verdana" w:hAnsi="Verdana" w:cs="Verdana"/>
          <w:sz w:val="20"/>
        </w:rPr>
        <w:t xml:space="preserve">L’Osservatorio Credito Confcommercio è basato su un’indagine continuativa a cadenza trimestrale effettuata su un campione statisticamente rappresentativo dell’universo delle imprese italiane del </w:t>
      </w:r>
      <w:r w:rsidRPr="002F64F8">
        <w:rPr>
          <w:rFonts w:ascii="Verdana" w:hAnsi="Verdana" w:cs="Verdana"/>
          <w:sz w:val="20"/>
        </w:rPr>
        <w:lastRenderedPageBreak/>
        <w:t xml:space="preserve">commercio, del turismo e dei servizi (1.436 interviste a buon fine). Margine di fiducia: +2,6%. L’indagine è stata effettuata dall’Istituto di ricerca Format </w:t>
      </w:r>
      <w:proofErr w:type="spellStart"/>
      <w:r w:rsidRPr="002F64F8">
        <w:rPr>
          <w:rFonts w:ascii="Verdana" w:hAnsi="Verdana" w:cs="Verdana"/>
          <w:sz w:val="20"/>
        </w:rPr>
        <w:t>Research</w:t>
      </w:r>
      <w:proofErr w:type="spellEnd"/>
      <w:r w:rsidRPr="002F64F8">
        <w:rPr>
          <w:rFonts w:ascii="Verdana" w:hAnsi="Verdana" w:cs="Verdana"/>
          <w:sz w:val="20"/>
        </w:rPr>
        <w:t>, tramite interviste telefoniche (sistema Cati), nel periodo 12–26 giugno 2013.</w:t>
      </w:r>
    </w:p>
    <w:sectPr w:rsidR="002F64F8" w:rsidRPr="002F64F8" w:rsidSect="003132BF">
      <w:footerReference w:type="even" r:id="rId11"/>
      <w:footerReference w:type="default" r:id="rId12"/>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1B" w:rsidRDefault="00404F1B">
      <w:r>
        <w:separator/>
      </w:r>
    </w:p>
  </w:endnote>
  <w:endnote w:type="continuationSeparator" w:id="0">
    <w:p w:rsidR="00404F1B" w:rsidRDefault="0040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ll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1B" w:rsidRDefault="00404F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04F1B" w:rsidRDefault="00404F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1B" w:rsidRDefault="00404F1B">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330890">
      <w:rPr>
        <w:rStyle w:val="Numeropagina"/>
        <w:noProof/>
        <w:sz w:val="18"/>
      </w:rPr>
      <w:t>2</w:t>
    </w:r>
    <w:r>
      <w:rPr>
        <w:rStyle w:val="Numeropagina"/>
        <w:sz w:val="18"/>
      </w:rPr>
      <w:fldChar w:fldCharType="end"/>
    </w:r>
  </w:p>
  <w:p w:rsidR="00404F1B" w:rsidRDefault="00404F1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1B" w:rsidRDefault="00404F1B">
      <w:r>
        <w:separator/>
      </w:r>
    </w:p>
  </w:footnote>
  <w:footnote w:type="continuationSeparator" w:id="0">
    <w:p w:rsidR="00404F1B" w:rsidRDefault="0040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21B19"/>
    <w:rsid w:val="0003230A"/>
    <w:rsid w:val="0004033D"/>
    <w:rsid w:val="000474A3"/>
    <w:rsid w:val="00071189"/>
    <w:rsid w:val="0008151E"/>
    <w:rsid w:val="000A561C"/>
    <w:rsid w:val="000D4094"/>
    <w:rsid w:val="00107095"/>
    <w:rsid w:val="001077AC"/>
    <w:rsid w:val="00122B70"/>
    <w:rsid w:val="00155176"/>
    <w:rsid w:val="00160661"/>
    <w:rsid w:val="00185147"/>
    <w:rsid w:val="001B187A"/>
    <w:rsid w:val="001D7312"/>
    <w:rsid w:val="00230563"/>
    <w:rsid w:val="00244867"/>
    <w:rsid w:val="00284D54"/>
    <w:rsid w:val="002E7967"/>
    <w:rsid w:val="002F64F8"/>
    <w:rsid w:val="00305509"/>
    <w:rsid w:val="003132BF"/>
    <w:rsid w:val="00314B8B"/>
    <w:rsid w:val="00316E8F"/>
    <w:rsid w:val="00326886"/>
    <w:rsid w:val="00330890"/>
    <w:rsid w:val="00340857"/>
    <w:rsid w:val="00355A9D"/>
    <w:rsid w:val="00372EE8"/>
    <w:rsid w:val="00376D9E"/>
    <w:rsid w:val="00386AA7"/>
    <w:rsid w:val="00394B9C"/>
    <w:rsid w:val="003C26C0"/>
    <w:rsid w:val="003C2F61"/>
    <w:rsid w:val="00404F1B"/>
    <w:rsid w:val="00420361"/>
    <w:rsid w:val="00435DB9"/>
    <w:rsid w:val="004622BA"/>
    <w:rsid w:val="00494724"/>
    <w:rsid w:val="004D2E8A"/>
    <w:rsid w:val="005034CA"/>
    <w:rsid w:val="0053024C"/>
    <w:rsid w:val="005335F9"/>
    <w:rsid w:val="005375E5"/>
    <w:rsid w:val="005539E5"/>
    <w:rsid w:val="00584211"/>
    <w:rsid w:val="005869A1"/>
    <w:rsid w:val="005A54D8"/>
    <w:rsid w:val="005B378F"/>
    <w:rsid w:val="005B6799"/>
    <w:rsid w:val="005D4495"/>
    <w:rsid w:val="005F5A73"/>
    <w:rsid w:val="00606A0F"/>
    <w:rsid w:val="00611BEE"/>
    <w:rsid w:val="006213EA"/>
    <w:rsid w:val="00643534"/>
    <w:rsid w:val="00682BFB"/>
    <w:rsid w:val="00685FEA"/>
    <w:rsid w:val="006864E9"/>
    <w:rsid w:val="006B0E82"/>
    <w:rsid w:val="006D0554"/>
    <w:rsid w:val="006D53F8"/>
    <w:rsid w:val="006E557C"/>
    <w:rsid w:val="006F62EA"/>
    <w:rsid w:val="007120EA"/>
    <w:rsid w:val="007252DD"/>
    <w:rsid w:val="00742DD6"/>
    <w:rsid w:val="007A4912"/>
    <w:rsid w:val="007B37B5"/>
    <w:rsid w:val="007C5C43"/>
    <w:rsid w:val="007D4469"/>
    <w:rsid w:val="007E7968"/>
    <w:rsid w:val="008022C0"/>
    <w:rsid w:val="00815060"/>
    <w:rsid w:val="008321C2"/>
    <w:rsid w:val="008611A6"/>
    <w:rsid w:val="008978CC"/>
    <w:rsid w:val="008A3E47"/>
    <w:rsid w:val="008A45FD"/>
    <w:rsid w:val="00904182"/>
    <w:rsid w:val="00914E48"/>
    <w:rsid w:val="0093735A"/>
    <w:rsid w:val="00976624"/>
    <w:rsid w:val="009B5EC4"/>
    <w:rsid w:val="009C2D1B"/>
    <w:rsid w:val="00A45811"/>
    <w:rsid w:val="00A61F34"/>
    <w:rsid w:val="00AB598B"/>
    <w:rsid w:val="00B24A89"/>
    <w:rsid w:val="00B332B8"/>
    <w:rsid w:val="00B34ADD"/>
    <w:rsid w:val="00B657C5"/>
    <w:rsid w:val="00B95E39"/>
    <w:rsid w:val="00BB5453"/>
    <w:rsid w:val="00BC3780"/>
    <w:rsid w:val="00BD1499"/>
    <w:rsid w:val="00C05F9F"/>
    <w:rsid w:val="00C427C2"/>
    <w:rsid w:val="00C475A0"/>
    <w:rsid w:val="00C60015"/>
    <w:rsid w:val="00C630A1"/>
    <w:rsid w:val="00C717E1"/>
    <w:rsid w:val="00C97692"/>
    <w:rsid w:val="00CB17DF"/>
    <w:rsid w:val="00CC1E62"/>
    <w:rsid w:val="00CF0339"/>
    <w:rsid w:val="00D2291E"/>
    <w:rsid w:val="00D264F0"/>
    <w:rsid w:val="00D712E6"/>
    <w:rsid w:val="00D9151F"/>
    <w:rsid w:val="00DC2DDC"/>
    <w:rsid w:val="00DC46C5"/>
    <w:rsid w:val="00DD4EB0"/>
    <w:rsid w:val="00E261D7"/>
    <w:rsid w:val="00E30D12"/>
    <w:rsid w:val="00E50358"/>
    <w:rsid w:val="00E66EC0"/>
    <w:rsid w:val="00EA1226"/>
    <w:rsid w:val="00EB5A1C"/>
    <w:rsid w:val="00EC15D0"/>
    <w:rsid w:val="00EC6316"/>
    <w:rsid w:val="00F20A55"/>
    <w:rsid w:val="00F23A9E"/>
    <w:rsid w:val="00F24BEF"/>
    <w:rsid w:val="00F3572B"/>
    <w:rsid w:val="00F446A9"/>
    <w:rsid w:val="00F53207"/>
    <w:rsid w:val="00F70E20"/>
    <w:rsid w:val="00F8461A"/>
    <w:rsid w:val="00F90EC0"/>
    <w:rsid w:val="00FB4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paragraph" w:customStyle="1" w:styleId="StileRapporto">
    <w:name w:val="StileRapporto"/>
    <w:basedOn w:val="Normale"/>
    <w:uiPriority w:val="99"/>
    <w:rsid w:val="00F90EC0"/>
    <w:pPr>
      <w:spacing w:line="360" w:lineRule="auto"/>
      <w:jc w:val="both"/>
    </w:pPr>
    <w:rPr>
      <w:rFonts w:ascii="Verdana" w:eastAsia="Times New Roman" w:hAnsi="Verdana"/>
      <w:sz w:val="20"/>
    </w:rPr>
  </w:style>
  <w:style w:type="character" w:customStyle="1" w:styleId="TestonotaapidipaginaCarattere">
    <w:name w:val="Testo nota a piè di pagina Carattere"/>
    <w:link w:val="Testonotaapidipagina"/>
    <w:uiPriority w:val="99"/>
    <w:semiHidden/>
    <w:rsid w:val="00F90EC0"/>
    <w:rPr>
      <w:rFonts w:ascii="Times New Roman" w:eastAsia="Times New Roman" w:hAnsi="Times New Roman"/>
    </w:rPr>
  </w:style>
  <w:style w:type="paragraph" w:styleId="NormaleWeb">
    <w:name w:val="Normal (Web)"/>
    <w:basedOn w:val="Normale"/>
    <w:uiPriority w:val="99"/>
    <w:unhideWhenUsed/>
    <w:rsid w:val="009B5EC4"/>
    <w:pPr>
      <w:spacing w:before="100" w:beforeAutospacing="1" w:after="24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paragraph" w:customStyle="1" w:styleId="StileRapporto">
    <w:name w:val="StileRapporto"/>
    <w:basedOn w:val="Normale"/>
    <w:uiPriority w:val="99"/>
    <w:rsid w:val="00F90EC0"/>
    <w:pPr>
      <w:spacing w:line="360" w:lineRule="auto"/>
      <w:jc w:val="both"/>
    </w:pPr>
    <w:rPr>
      <w:rFonts w:ascii="Verdana" w:eastAsia="Times New Roman" w:hAnsi="Verdana"/>
      <w:sz w:val="20"/>
    </w:rPr>
  </w:style>
  <w:style w:type="character" w:customStyle="1" w:styleId="TestonotaapidipaginaCarattere">
    <w:name w:val="Testo nota a piè di pagina Carattere"/>
    <w:link w:val="Testonotaapidipagina"/>
    <w:uiPriority w:val="99"/>
    <w:semiHidden/>
    <w:rsid w:val="00F90EC0"/>
    <w:rPr>
      <w:rFonts w:ascii="Times New Roman" w:eastAsia="Times New Roman" w:hAnsi="Times New Roman"/>
    </w:rPr>
  </w:style>
  <w:style w:type="paragraph" w:styleId="NormaleWeb">
    <w:name w:val="Normal (Web)"/>
    <w:basedOn w:val="Normale"/>
    <w:uiPriority w:val="99"/>
    <w:unhideWhenUsed/>
    <w:rsid w:val="009B5EC4"/>
    <w:pPr>
      <w:spacing w:before="100" w:beforeAutospacing="1" w:after="24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68088">
      <w:bodyDiv w:val="1"/>
      <w:marLeft w:val="0"/>
      <w:marRight w:val="0"/>
      <w:marTop w:val="0"/>
      <w:marBottom w:val="0"/>
      <w:divBdr>
        <w:top w:val="none" w:sz="0" w:space="0" w:color="auto"/>
        <w:left w:val="none" w:sz="0" w:space="0" w:color="auto"/>
        <w:bottom w:val="none" w:sz="0" w:space="0" w:color="auto"/>
        <w:right w:val="none" w:sz="0" w:space="0" w:color="auto"/>
      </w:divBdr>
    </w:div>
    <w:div w:id="794060116">
      <w:bodyDiv w:val="1"/>
      <w:marLeft w:val="0"/>
      <w:marRight w:val="0"/>
      <w:marTop w:val="0"/>
      <w:marBottom w:val="0"/>
      <w:divBdr>
        <w:top w:val="none" w:sz="0" w:space="0" w:color="auto"/>
        <w:left w:val="none" w:sz="0" w:space="0" w:color="auto"/>
        <w:bottom w:val="none" w:sz="0" w:space="0" w:color="auto"/>
        <w:right w:val="none" w:sz="0" w:space="0" w:color="auto"/>
      </w:divBdr>
      <w:divsChild>
        <w:div w:id="1924100776">
          <w:marLeft w:val="0"/>
          <w:marRight w:val="0"/>
          <w:marTop w:val="0"/>
          <w:marBottom w:val="0"/>
          <w:divBdr>
            <w:top w:val="none" w:sz="0" w:space="0" w:color="auto"/>
            <w:left w:val="single" w:sz="6" w:space="0" w:color="E8E8E8"/>
            <w:bottom w:val="none" w:sz="0" w:space="0" w:color="auto"/>
            <w:right w:val="single" w:sz="6" w:space="0" w:color="E8E8E8"/>
          </w:divBdr>
          <w:divsChild>
            <w:div w:id="1870726758">
              <w:marLeft w:val="0"/>
              <w:marRight w:val="0"/>
              <w:marTop w:val="0"/>
              <w:marBottom w:val="0"/>
              <w:divBdr>
                <w:top w:val="none" w:sz="0" w:space="0" w:color="auto"/>
                <w:left w:val="none" w:sz="0" w:space="0" w:color="auto"/>
                <w:bottom w:val="none" w:sz="0" w:space="0" w:color="auto"/>
                <w:right w:val="none" w:sz="0" w:space="0" w:color="auto"/>
              </w:divBdr>
              <w:divsChild>
                <w:div w:id="318460470">
                  <w:marLeft w:val="0"/>
                  <w:marRight w:val="0"/>
                  <w:marTop w:val="0"/>
                  <w:marBottom w:val="0"/>
                  <w:divBdr>
                    <w:top w:val="none" w:sz="0" w:space="0" w:color="auto"/>
                    <w:left w:val="none" w:sz="0" w:space="0" w:color="auto"/>
                    <w:bottom w:val="none" w:sz="0" w:space="0" w:color="auto"/>
                    <w:right w:val="none" w:sz="0" w:space="0" w:color="auto"/>
                  </w:divBdr>
                  <w:divsChild>
                    <w:div w:id="1472402917">
                      <w:marLeft w:val="0"/>
                      <w:marRight w:val="0"/>
                      <w:marTop w:val="0"/>
                      <w:marBottom w:val="0"/>
                      <w:divBdr>
                        <w:top w:val="none" w:sz="0" w:space="0" w:color="auto"/>
                        <w:left w:val="none" w:sz="0" w:space="0" w:color="auto"/>
                        <w:bottom w:val="none" w:sz="0" w:space="0" w:color="auto"/>
                        <w:right w:val="none" w:sz="0" w:space="0" w:color="auto"/>
                      </w:divBdr>
                      <w:divsChild>
                        <w:div w:id="2016764006">
                          <w:marLeft w:val="0"/>
                          <w:marRight w:val="0"/>
                          <w:marTop w:val="0"/>
                          <w:marBottom w:val="0"/>
                          <w:divBdr>
                            <w:top w:val="none" w:sz="0" w:space="0" w:color="auto"/>
                            <w:left w:val="none" w:sz="0" w:space="0" w:color="auto"/>
                            <w:bottom w:val="none" w:sz="0" w:space="0" w:color="auto"/>
                            <w:right w:val="none" w:sz="0" w:space="0" w:color="auto"/>
                          </w:divBdr>
                          <w:divsChild>
                            <w:div w:id="157616825">
                              <w:marLeft w:val="0"/>
                              <w:marRight w:val="0"/>
                              <w:marTop w:val="0"/>
                              <w:marBottom w:val="0"/>
                              <w:divBdr>
                                <w:top w:val="none" w:sz="0" w:space="0" w:color="auto"/>
                                <w:left w:val="none" w:sz="0" w:space="0" w:color="auto"/>
                                <w:bottom w:val="none" w:sz="0" w:space="0" w:color="auto"/>
                                <w:right w:val="none" w:sz="0" w:space="0" w:color="auto"/>
                              </w:divBdr>
                              <w:divsChild>
                                <w:div w:id="1622572418">
                                  <w:marLeft w:val="0"/>
                                  <w:marRight w:val="0"/>
                                  <w:marTop w:val="0"/>
                                  <w:marBottom w:val="0"/>
                                  <w:divBdr>
                                    <w:top w:val="none" w:sz="0" w:space="0" w:color="auto"/>
                                    <w:left w:val="none" w:sz="0" w:space="0" w:color="auto"/>
                                    <w:bottom w:val="none" w:sz="0" w:space="0" w:color="auto"/>
                                    <w:right w:val="none" w:sz="0" w:space="0" w:color="auto"/>
                                  </w:divBdr>
                                  <w:divsChild>
                                    <w:div w:id="263614738">
                                      <w:marLeft w:val="0"/>
                                      <w:marRight w:val="0"/>
                                      <w:marTop w:val="90"/>
                                      <w:marBottom w:val="0"/>
                                      <w:divBdr>
                                        <w:top w:val="none" w:sz="0" w:space="0" w:color="auto"/>
                                        <w:left w:val="none" w:sz="0" w:space="0" w:color="auto"/>
                                        <w:bottom w:val="none" w:sz="0" w:space="0" w:color="auto"/>
                                        <w:right w:val="none" w:sz="0" w:space="0" w:color="auto"/>
                                      </w:divBdr>
                                      <w:divsChild>
                                        <w:div w:id="2081555390">
                                          <w:marLeft w:val="0"/>
                                          <w:marRight w:val="0"/>
                                          <w:marTop w:val="0"/>
                                          <w:marBottom w:val="0"/>
                                          <w:divBdr>
                                            <w:top w:val="none" w:sz="0" w:space="0" w:color="auto"/>
                                            <w:left w:val="none" w:sz="0" w:space="0" w:color="auto"/>
                                            <w:bottom w:val="none" w:sz="0" w:space="0" w:color="auto"/>
                                            <w:right w:val="none" w:sz="0" w:space="0" w:color="auto"/>
                                          </w:divBdr>
                                          <w:divsChild>
                                            <w:div w:id="1087117050">
                                              <w:marLeft w:val="0"/>
                                              <w:marRight w:val="0"/>
                                              <w:marTop w:val="90"/>
                                              <w:marBottom w:val="0"/>
                                              <w:divBdr>
                                                <w:top w:val="none" w:sz="0" w:space="0" w:color="auto"/>
                                                <w:left w:val="none" w:sz="0" w:space="0" w:color="auto"/>
                                                <w:bottom w:val="none" w:sz="0" w:space="0" w:color="auto"/>
                                                <w:right w:val="none" w:sz="0" w:space="0" w:color="auto"/>
                                              </w:divBdr>
                                              <w:divsChild>
                                                <w:div w:id="868756685">
                                                  <w:marLeft w:val="0"/>
                                                  <w:marRight w:val="0"/>
                                                  <w:marTop w:val="0"/>
                                                  <w:marBottom w:val="0"/>
                                                  <w:divBdr>
                                                    <w:top w:val="none" w:sz="0" w:space="0" w:color="auto"/>
                                                    <w:left w:val="none" w:sz="0" w:space="0" w:color="auto"/>
                                                    <w:bottom w:val="none" w:sz="0" w:space="0" w:color="auto"/>
                                                    <w:right w:val="none" w:sz="0" w:space="0" w:color="auto"/>
                                                  </w:divBdr>
                                                  <w:divsChild>
                                                    <w:div w:id="140923657">
                                                      <w:marLeft w:val="0"/>
                                                      <w:marRight w:val="0"/>
                                                      <w:marTop w:val="0"/>
                                                      <w:marBottom w:val="0"/>
                                                      <w:divBdr>
                                                        <w:top w:val="none" w:sz="0" w:space="0" w:color="auto"/>
                                                        <w:left w:val="none" w:sz="0" w:space="0" w:color="auto"/>
                                                        <w:bottom w:val="none" w:sz="0" w:space="0" w:color="auto"/>
                                                        <w:right w:val="none" w:sz="0" w:space="0" w:color="auto"/>
                                                      </w:divBdr>
                                                      <w:divsChild>
                                                        <w:div w:id="1274942202">
                                                          <w:marLeft w:val="0"/>
                                                          <w:marRight w:val="0"/>
                                                          <w:marTop w:val="0"/>
                                                          <w:marBottom w:val="0"/>
                                                          <w:divBdr>
                                                            <w:top w:val="none" w:sz="0" w:space="0" w:color="auto"/>
                                                            <w:left w:val="none" w:sz="0" w:space="0" w:color="auto"/>
                                                            <w:bottom w:val="none" w:sz="0" w:space="0" w:color="auto"/>
                                                            <w:right w:val="none" w:sz="0" w:space="0" w:color="auto"/>
                                                          </w:divBdr>
                                                          <w:divsChild>
                                                            <w:div w:id="1936861883">
                                                              <w:marLeft w:val="0"/>
                                                              <w:marRight w:val="0"/>
                                                              <w:marTop w:val="0"/>
                                                              <w:marBottom w:val="0"/>
                                                              <w:divBdr>
                                                                <w:top w:val="none" w:sz="0" w:space="0" w:color="auto"/>
                                                                <w:left w:val="none" w:sz="0" w:space="0" w:color="auto"/>
                                                                <w:bottom w:val="none" w:sz="0" w:space="0" w:color="auto"/>
                                                                <w:right w:val="none" w:sz="0" w:space="0" w:color="auto"/>
                                                              </w:divBdr>
                                                              <w:divsChild>
                                                                <w:div w:id="363872674">
                                                                  <w:marLeft w:val="0"/>
                                                                  <w:marRight w:val="0"/>
                                                                  <w:marTop w:val="0"/>
                                                                  <w:marBottom w:val="600"/>
                                                                  <w:divBdr>
                                                                    <w:top w:val="none" w:sz="0" w:space="0" w:color="auto"/>
                                                                    <w:left w:val="single" w:sz="12" w:space="8" w:color="EBEBEC"/>
                                                                    <w:bottom w:val="none" w:sz="0" w:space="0" w:color="auto"/>
                                                                    <w:right w:val="single" w:sz="12" w:space="8" w:color="EBEBEC"/>
                                                                  </w:divBdr>
                                                                  <w:divsChild>
                                                                    <w:div w:id="1256133937">
                                                                      <w:marLeft w:val="0"/>
                                                                      <w:marRight w:val="0"/>
                                                                      <w:marTop w:val="0"/>
                                                                      <w:marBottom w:val="450"/>
                                                                      <w:divBdr>
                                                                        <w:top w:val="none" w:sz="0" w:space="0" w:color="auto"/>
                                                                        <w:left w:val="none" w:sz="0" w:space="0" w:color="auto"/>
                                                                        <w:bottom w:val="none" w:sz="0" w:space="0" w:color="auto"/>
                                                                        <w:right w:val="none" w:sz="0" w:space="0" w:color="auto"/>
                                                                      </w:divBdr>
                                                                      <w:divsChild>
                                                                        <w:div w:id="17002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428689">
      <w:bodyDiv w:val="1"/>
      <w:marLeft w:val="0"/>
      <w:marRight w:val="0"/>
      <w:marTop w:val="0"/>
      <w:marBottom w:val="0"/>
      <w:divBdr>
        <w:top w:val="none" w:sz="0" w:space="0" w:color="auto"/>
        <w:left w:val="none" w:sz="0" w:space="0" w:color="auto"/>
        <w:bottom w:val="none" w:sz="0" w:space="0" w:color="auto"/>
        <w:right w:val="none" w:sz="0" w:space="0" w:color="auto"/>
      </w:divBdr>
      <w:divsChild>
        <w:div w:id="383874898">
          <w:marLeft w:val="0"/>
          <w:marRight w:val="0"/>
          <w:marTop w:val="0"/>
          <w:marBottom w:val="0"/>
          <w:divBdr>
            <w:top w:val="none" w:sz="0" w:space="0" w:color="auto"/>
            <w:left w:val="single" w:sz="6" w:space="0" w:color="E4E6EA"/>
            <w:bottom w:val="none" w:sz="0" w:space="0" w:color="auto"/>
            <w:right w:val="single" w:sz="6" w:space="0" w:color="E4E6EA"/>
          </w:divBdr>
          <w:divsChild>
            <w:div w:id="1568497177">
              <w:marLeft w:val="0"/>
              <w:marRight w:val="0"/>
              <w:marTop w:val="0"/>
              <w:marBottom w:val="0"/>
              <w:divBdr>
                <w:top w:val="none" w:sz="0" w:space="0" w:color="auto"/>
                <w:left w:val="none" w:sz="0" w:space="0" w:color="auto"/>
                <w:bottom w:val="none" w:sz="0" w:space="0" w:color="auto"/>
                <w:right w:val="none" w:sz="0" w:space="0" w:color="auto"/>
              </w:divBdr>
              <w:divsChild>
                <w:div w:id="317923663">
                  <w:marLeft w:val="0"/>
                  <w:marRight w:val="0"/>
                  <w:marTop w:val="0"/>
                  <w:marBottom w:val="0"/>
                  <w:divBdr>
                    <w:top w:val="none" w:sz="0" w:space="0" w:color="auto"/>
                    <w:left w:val="none" w:sz="0" w:space="0" w:color="auto"/>
                    <w:bottom w:val="none" w:sz="0" w:space="0" w:color="auto"/>
                    <w:right w:val="none" w:sz="0" w:space="0" w:color="auto"/>
                  </w:divBdr>
                  <w:divsChild>
                    <w:div w:id="1165776759">
                      <w:marLeft w:val="0"/>
                      <w:marRight w:val="0"/>
                      <w:marTop w:val="0"/>
                      <w:marBottom w:val="0"/>
                      <w:divBdr>
                        <w:top w:val="none" w:sz="0" w:space="0" w:color="auto"/>
                        <w:left w:val="none" w:sz="0" w:space="0" w:color="auto"/>
                        <w:bottom w:val="none" w:sz="0" w:space="0" w:color="auto"/>
                        <w:right w:val="none" w:sz="0" w:space="0" w:color="auto"/>
                      </w:divBdr>
                      <w:divsChild>
                        <w:div w:id="1077944090">
                          <w:marLeft w:val="0"/>
                          <w:marRight w:val="0"/>
                          <w:marTop w:val="0"/>
                          <w:marBottom w:val="0"/>
                          <w:divBdr>
                            <w:top w:val="none" w:sz="0" w:space="0" w:color="auto"/>
                            <w:left w:val="none" w:sz="0" w:space="0" w:color="auto"/>
                            <w:bottom w:val="none" w:sz="0" w:space="0" w:color="auto"/>
                            <w:right w:val="none" w:sz="0" w:space="0" w:color="auto"/>
                          </w:divBdr>
                          <w:divsChild>
                            <w:div w:id="1674340124">
                              <w:marLeft w:val="0"/>
                              <w:marRight w:val="0"/>
                              <w:marTop w:val="0"/>
                              <w:marBottom w:val="0"/>
                              <w:divBdr>
                                <w:top w:val="none" w:sz="0" w:space="0" w:color="auto"/>
                                <w:left w:val="none" w:sz="0" w:space="0" w:color="auto"/>
                                <w:bottom w:val="none" w:sz="0" w:space="0" w:color="auto"/>
                                <w:right w:val="dotted" w:sz="6" w:space="0" w:color="CCCCCC"/>
                              </w:divBdr>
                              <w:divsChild>
                                <w:div w:id="1697995711">
                                  <w:marLeft w:val="0"/>
                                  <w:marRight w:val="0"/>
                                  <w:marTop w:val="150"/>
                                  <w:marBottom w:val="0"/>
                                  <w:divBdr>
                                    <w:top w:val="none" w:sz="0" w:space="0" w:color="auto"/>
                                    <w:left w:val="none" w:sz="0" w:space="0" w:color="auto"/>
                                    <w:bottom w:val="none" w:sz="0" w:space="0" w:color="auto"/>
                                    <w:right w:val="none" w:sz="0" w:space="0" w:color="auto"/>
                                  </w:divBdr>
                                  <w:divsChild>
                                    <w:div w:id="964965195">
                                      <w:marLeft w:val="0"/>
                                      <w:marRight w:val="0"/>
                                      <w:marTop w:val="0"/>
                                      <w:marBottom w:val="0"/>
                                      <w:divBdr>
                                        <w:top w:val="none" w:sz="0" w:space="0" w:color="auto"/>
                                        <w:left w:val="none" w:sz="0" w:space="0" w:color="auto"/>
                                        <w:bottom w:val="none" w:sz="0" w:space="0" w:color="auto"/>
                                        <w:right w:val="none" w:sz="0" w:space="0" w:color="auto"/>
                                      </w:divBdr>
                                      <w:divsChild>
                                        <w:div w:id="1600874188">
                                          <w:marLeft w:val="0"/>
                                          <w:marRight w:val="0"/>
                                          <w:marTop w:val="0"/>
                                          <w:marBottom w:val="0"/>
                                          <w:divBdr>
                                            <w:top w:val="none" w:sz="0" w:space="0" w:color="auto"/>
                                            <w:left w:val="none" w:sz="0" w:space="0" w:color="auto"/>
                                            <w:bottom w:val="none" w:sz="0" w:space="0" w:color="auto"/>
                                            <w:right w:val="none" w:sz="0" w:space="0" w:color="auto"/>
                                          </w:divBdr>
                                          <w:divsChild>
                                            <w:div w:id="1107434267">
                                              <w:marLeft w:val="0"/>
                                              <w:marRight w:val="0"/>
                                              <w:marTop w:val="0"/>
                                              <w:marBottom w:val="0"/>
                                              <w:divBdr>
                                                <w:top w:val="none" w:sz="0" w:space="0" w:color="auto"/>
                                                <w:left w:val="none" w:sz="0" w:space="0" w:color="auto"/>
                                                <w:bottom w:val="none" w:sz="0" w:space="0" w:color="auto"/>
                                                <w:right w:val="none" w:sz="0" w:space="0" w:color="auto"/>
                                              </w:divBdr>
                                              <w:divsChild>
                                                <w:div w:id="1635870038">
                                                  <w:marLeft w:val="0"/>
                                                  <w:marRight w:val="0"/>
                                                  <w:marTop w:val="0"/>
                                                  <w:marBottom w:val="0"/>
                                                  <w:divBdr>
                                                    <w:top w:val="none" w:sz="0" w:space="0" w:color="auto"/>
                                                    <w:left w:val="none" w:sz="0" w:space="0" w:color="auto"/>
                                                    <w:bottom w:val="none" w:sz="0" w:space="0" w:color="auto"/>
                                                    <w:right w:val="none" w:sz="0" w:space="0" w:color="auto"/>
                                                  </w:divBdr>
                                                  <w:divsChild>
                                                    <w:div w:id="1298755094">
                                                      <w:marLeft w:val="0"/>
                                                      <w:marRight w:val="0"/>
                                                      <w:marTop w:val="0"/>
                                                      <w:marBottom w:val="0"/>
                                                      <w:divBdr>
                                                        <w:top w:val="none" w:sz="0" w:space="0" w:color="auto"/>
                                                        <w:left w:val="none" w:sz="0" w:space="0" w:color="auto"/>
                                                        <w:bottom w:val="none" w:sz="0" w:space="0" w:color="auto"/>
                                                        <w:right w:val="none" w:sz="0" w:space="0" w:color="auto"/>
                                                      </w:divBdr>
                                                      <w:divsChild>
                                                        <w:div w:id="2122064820">
                                                          <w:marLeft w:val="0"/>
                                                          <w:marRight w:val="0"/>
                                                          <w:marTop w:val="0"/>
                                                          <w:marBottom w:val="0"/>
                                                          <w:divBdr>
                                                            <w:top w:val="none" w:sz="0" w:space="0" w:color="auto"/>
                                                            <w:left w:val="none" w:sz="0" w:space="0" w:color="auto"/>
                                                            <w:bottom w:val="none" w:sz="0" w:space="0" w:color="auto"/>
                                                            <w:right w:val="none" w:sz="0" w:space="0" w:color="auto"/>
                                                          </w:divBdr>
                                                          <w:divsChild>
                                                            <w:div w:id="821972190">
                                                              <w:marLeft w:val="0"/>
                                                              <w:marRight w:val="0"/>
                                                              <w:marTop w:val="0"/>
                                                              <w:marBottom w:val="0"/>
                                                              <w:divBdr>
                                                                <w:top w:val="none" w:sz="0" w:space="0" w:color="auto"/>
                                                                <w:left w:val="none" w:sz="0" w:space="0" w:color="auto"/>
                                                                <w:bottom w:val="none" w:sz="0" w:space="0" w:color="auto"/>
                                                                <w:right w:val="none" w:sz="0" w:space="0" w:color="auto"/>
                                                              </w:divBdr>
                                                              <w:divsChild>
                                                                <w:div w:id="2143452310">
                                                                  <w:marLeft w:val="0"/>
                                                                  <w:marRight w:val="0"/>
                                                                  <w:marTop w:val="0"/>
                                                                  <w:marBottom w:val="600"/>
                                                                  <w:divBdr>
                                                                    <w:top w:val="none" w:sz="0" w:space="0" w:color="auto"/>
                                                                    <w:left w:val="none" w:sz="0" w:space="0" w:color="auto"/>
                                                                    <w:bottom w:val="none" w:sz="0" w:space="0" w:color="auto"/>
                                                                    <w:right w:val="none" w:sz="0" w:space="0" w:color="auto"/>
                                                                  </w:divBdr>
                                                                  <w:divsChild>
                                                                    <w:div w:id="826483551">
                                                                      <w:marLeft w:val="0"/>
                                                                      <w:marRight w:val="0"/>
                                                                      <w:marTop w:val="300"/>
                                                                      <w:marBottom w:val="450"/>
                                                                      <w:divBdr>
                                                                        <w:top w:val="none" w:sz="0" w:space="0" w:color="auto"/>
                                                                        <w:left w:val="none" w:sz="0" w:space="0" w:color="auto"/>
                                                                        <w:bottom w:val="none" w:sz="0" w:space="0" w:color="auto"/>
                                                                        <w:right w:val="none" w:sz="0" w:space="0" w:color="auto"/>
                                                                      </w:divBdr>
                                                                      <w:divsChild>
                                                                        <w:div w:id="554008413">
                                                                          <w:marLeft w:val="0"/>
                                                                          <w:marRight w:val="0"/>
                                                                          <w:marTop w:val="0"/>
                                                                          <w:marBottom w:val="0"/>
                                                                          <w:divBdr>
                                                                            <w:top w:val="none" w:sz="0" w:space="0" w:color="auto"/>
                                                                            <w:left w:val="none" w:sz="0" w:space="0" w:color="auto"/>
                                                                            <w:bottom w:val="none" w:sz="0" w:space="0" w:color="auto"/>
                                                                            <w:right w:val="none" w:sz="0" w:space="0" w:color="auto"/>
                                                                          </w:divBdr>
                                                                        </w:div>
                                                                        <w:div w:id="1148205168">
                                                                          <w:marLeft w:val="0"/>
                                                                          <w:marRight w:val="0"/>
                                                                          <w:marTop w:val="0"/>
                                                                          <w:marBottom w:val="0"/>
                                                                          <w:divBdr>
                                                                            <w:top w:val="none" w:sz="0" w:space="0" w:color="auto"/>
                                                                            <w:left w:val="none" w:sz="0" w:space="0" w:color="auto"/>
                                                                            <w:bottom w:val="none" w:sz="0" w:space="0" w:color="auto"/>
                                                                            <w:right w:val="none" w:sz="0" w:space="0" w:color="auto"/>
                                                                          </w:divBdr>
                                                                        </w:div>
                                                                        <w:div w:id="989553249">
                                                                          <w:marLeft w:val="0"/>
                                                                          <w:marRight w:val="0"/>
                                                                          <w:marTop w:val="0"/>
                                                                          <w:marBottom w:val="0"/>
                                                                          <w:divBdr>
                                                                            <w:top w:val="none" w:sz="0" w:space="0" w:color="auto"/>
                                                                            <w:left w:val="none" w:sz="0" w:space="0" w:color="auto"/>
                                                                            <w:bottom w:val="none" w:sz="0" w:space="0" w:color="auto"/>
                                                                            <w:right w:val="none" w:sz="0" w:space="0" w:color="auto"/>
                                                                          </w:divBdr>
                                                                        </w:div>
                                                                        <w:div w:id="2071730945">
                                                                          <w:marLeft w:val="0"/>
                                                                          <w:marRight w:val="0"/>
                                                                          <w:marTop w:val="0"/>
                                                                          <w:marBottom w:val="0"/>
                                                                          <w:divBdr>
                                                                            <w:top w:val="none" w:sz="0" w:space="0" w:color="auto"/>
                                                                            <w:left w:val="none" w:sz="0" w:space="0" w:color="auto"/>
                                                                            <w:bottom w:val="none" w:sz="0" w:space="0" w:color="auto"/>
                                                                            <w:right w:val="none" w:sz="0" w:space="0" w:color="auto"/>
                                                                          </w:divBdr>
                                                                        </w:div>
                                                                        <w:div w:id="2088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93459">
      <w:bodyDiv w:val="1"/>
      <w:marLeft w:val="0"/>
      <w:marRight w:val="0"/>
      <w:marTop w:val="0"/>
      <w:marBottom w:val="0"/>
      <w:divBdr>
        <w:top w:val="none" w:sz="0" w:space="0" w:color="auto"/>
        <w:left w:val="none" w:sz="0" w:space="0" w:color="auto"/>
        <w:bottom w:val="none" w:sz="0" w:space="0" w:color="auto"/>
        <w:right w:val="none" w:sz="0" w:space="0" w:color="auto"/>
      </w:divBdr>
      <w:divsChild>
        <w:div w:id="2032414235">
          <w:marLeft w:val="0"/>
          <w:marRight w:val="0"/>
          <w:marTop w:val="0"/>
          <w:marBottom w:val="0"/>
          <w:divBdr>
            <w:top w:val="none" w:sz="0" w:space="0" w:color="auto"/>
            <w:left w:val="single" w:sz="6" w:space="0" w:color="E4E6EA"/>
            <w:bottom w:val="none" w:sz="0" w:space="0" w:color="auto"/>
            <w:right w:val="single" w:sz="6" w:space="0" w:color="E4E6EA"/>
          </w:divBdr>
          <w:divsChild>
            <w:div w:id="877157702">
              <w:marLeft w:val="0"/>
              <w:marRight w:val="0"/>
              <w:marTop w:val="0"/>
              <w:marBottom w:val="0"/>
              <w:divBdr>
                <w:top w:val="none" w:sz="0" w:space="0" w:color="auto"/>
                <w:left w:val="none" w:sz="0" w:space="0" w:color="auto"/>
                <w:bottom w:val="none" w:sz="0" w:space="0" w:color="auto"/>
                <w:right w:val="none" w:sz="0" w:space="0" w:color="auto"/>
              </w:divBdr>
              <w:divsChild>
                <w:div w:id="1972393387">
                  <w:marLeft w:val="0"/>
                  <w:marRight w:val="0"/>
                  <w:marTop w:val="0"/>
                  <w:marBottom w:val="0"/>
                  <w:divBdr>
                    <w:top w:val="none" w:sz="0" w:space="0" w:color="auto"/>
                    <w:left w:val="none" w:sz="0" w:space="0" w:color="auto"/>
                    <w:bottom w:val="none" w:sz="0" w:space="0" w:color="auto"/>
                    <w:right w:val="none" w:sz="0" w:space="0" w:color="auto"/>
                  </w:divBdr>
                  <w:divsChild>
                    <w:div w:id="736242731">
                      <w:marLeft w:val="0"/>
                      <w:marRight w:val="0"/>
                      <w:marTop w:val="0"/>
                      <w:marBottom w:val="0"/>
                      <w:divBdr>
                        <w:top w:val="none" w:sz="0" w:space="0" w:color="auto"/>
                        <w:left w:val="none" w:sz="0" w:space="0" w:color="auto"/>
                        <w:bottom w:val="none" w:sz="0" w:space="0" w:color="auto"/>
                        <w:right w:val="none" w:sz="0" w:space="0" w:color="auto"/>
                      </w:divBdr>
                      <w:divsChild>
                        <w:div w:id="1055399482">
                          <w:marLeft w:val="0"/>
                          <w:marRight w:val="0"/>
                          <w:marTop w:val="0"/>
                          <w:marBottom w:val="0"/>
                          <w:divBdr>
                            <w:top w:val="none" w:sz="0" w:space="0" w:color="auto"/>
                            <w:left w:val="none" w:sz="0" w:space="0" w:color="auto"/>
                            <w:bottom w:val="none" w:sz="0" w:space="0" w:color="auto"/>
                            <w:right w:val="none" w:sz="0" w:space="0" w:color="auto"/>
                          </w:divBdr>
                          <w:divsChild>
                            <w:div w:id="1281448831">
                              <w:marLeft w:val="0"/>
                              <w:marRight w:val="0"/>
                              <w:marTop w:val="0"/>
                              <w:marBottom w:val="0"/>
                              <w:divBdr>
                                <w:top w:val="none" w:sz="0" w:space="0" w:color="auto"/>
                                <w:left w:val="none" w:sz="0" w:space="0" w:color="auto"/>
                                <w:bottom w:val="none" w:sz="0" w:space="0" w:color="auto"/>
                                <w:right w:val="dotted" w:sz="6" w:space="0" w:color="CCCCCC"/>
                              </w:divBdr>
                              <w:divsChild>
                                <w:div w:id="1683899372">
                                  <w:marLeft w:val="0"/>
                                  <w:marRight w:val="0"/>
                                  <w:marTop w:val="150"/>
                                  <w:marBottom w:val="0"/>
                                  <w:divBdr>
                                    <w:top w:val="none" w:sz="0" w:space="0" w:color="auto"/>
                                    <w:left w:val="none" w:sz="0" w:space="0" w:color="auto"/>
                                    <w:bottom w:val="none" w:sz="0" w:space="0" w:color="auto"/>
                                    <w:right w:val="none" w:sz="0" w:space="0" w:color="auto"/>
                                  </w:divBdr>
                                  <w:divsChild>
                                    <w:div w:id="1133517965">
                                      <w:marLeft w:val="0"/>
                                      <w:marRight w:val="0"/>
                                      <w:marTop w:val="0"/>
                                      <w:marBottom w:val="0"/>
                                      <w:divBdr>
                                        <w:top w:val="none" w:sz="0" w:space="0" w:color="auto"/>
                                        <w:left w:val="none" w:sz="0" w:space="0" w:color="auto"/>
                                        <w:bottom w:val="none" w:sz="0" w:space="0" w:color="auto"/>
                                        <w:right w:val="none" w:sz="0" w:space="0" w:color="auto"/>
                                      </w:divBdr>
                                      <w:divsChild>
                                        <w:div w:id="417362580">
                                          <w:marLeft w:val="0"/>
                                          <w:marRight w:val="0"/>
                                          <w:marTop w:val="0"/>
                                          <w:marBottom w:val="0"/>
                                          <w:divBdr>
                                            <w:top w:val="none" w:sz="0" w:space="0" w:color="auto"/>
                                            <w:left w:val="none" w:sz="0" w:space="0" w:color="auto"/>
                                            <w:bottom w:val="none" w:sz="0" w:space="0" w:color="auto"/>
                                            <w:right w:val="none" w:sz="0" w:space="0" w:color="auto"/>
                                          </w:divBdr>
                                          <w:divsChild>
                                            <w:div w:id="98529939">
                                              <w:marLeft w:val="0"/>
                                              <w:marRight w:val="0"/>
                                              <w:marTop w:val="0"/>
                                              <w:marBottom w:val="0"/>
                                              <w:divBdr>
                                                <w:top w:val="none" w:sz="0" w:space="0" w:color="auto"/>
                                                <w:left w:val="none" w:sz="0" w:space="0" w:color="auto"/>
                                                <w:bottom w:val="none" w:sz="0" w:space="0" w:color="auto"/>
                                                <w:right w:val="none" w:sz="0" w:space="0" w:color="auto"/>
                                              </w:divBdr>
                                              <w:divsChild>
                                                <w:div w:id="1615283111">
                                                  <w:marLeft w:val="0"/>
                                                  <w:marRight w:val="0"/>
                                                  <w:marTop w:val="0"/>
                                                  <w:marBottom w:val="0"/>
                                                  <w:divBdr>
                                                    <w:top w:val="none" w:sz="0" w:space="0" w:color="auto"/>
                                                    <w:left w:val="none" w:sz="0" w:space="0" w:color="auto"/>
                                                    <w:bottom w:val="none" w:sz="0" w:space="0" w:color="auto"/>
                                                    <w:right w:val="none" w:sz="0" w:space="0" w:color="auto"/>
                                                  </w:divBdr>
                                                  <w:divsChild>
                                                    <w:div w:id="1407069216">
                                                      <w:marLeft w:val="0"/>
                                                      <w:marRight w:val="0"/>
                                                      <w:marTop w:val="0"/>
                                                      <w:marBottom w:val="0"/>
                                                      <w:divBdr>
                                                        <w:top w:val="none" w:sz="0" w:space="0" w:color="auto"/>
                                                        <w:left w:val="none" w:sz="0" w:space="0" w:color="auto"/>
                                                        <w:bottom w:val="none" w:sz="0" w:space="0" w:color="auto"/>
                                                        <w:right w:val="none" w:sz="0" w:space="0" w:color="auto"/>
                                                      </w:divBdr>
                                                      <w:divsChild>
                                                        <w:div w:id="613174870">
                                                          <w:marLeft w:val="0"/>
                                                          <w:marRight w:val="0"/>
                                                          <w:marTop w:val="0"/>
                                                          <w:marBottom w:val="0"/>
                                                          <w:divBdr>
                                                            <w:top w:val="none" w:sz="0" w:space="0" w:color="auto"/>
                                                            <w:left w:val="none" w:sz="0" w:space="0" w:color="auto"/>
                                                            <w:bottom w:val="none" w:sz="0" w:space="0" w:color="auto"/>
                                                            <w:right w:val="none" w:sz="0" w:space="0" w:color="auto"/>
                                                          </w:divBdr>
                                                          <w:divsChild>
                                                            <w:div w:id="1605769602">
                                                              <w:marLeft w:val="0"/>
                                                              <w:marRight w:val="0"/>
                                                              <w:marTop w:val="0"/>
                                                              <w:marBottom w:val="0"/>
                                                              <w:divBdr>
                                                                <w:top w:val="none" w:sz="0" w:space="0" w:color="auto"/>
                                                                <w:left w:val="none" w:sz="0" w:space="0" w:color="auto"/>
                                                                <w:bottom w:val="none" w:sz="0" w:space="0" w:color="auto"/>
                                                                <w:right w:val="none" w:sz="0" w:space="0" w:color="auto"/>
                                                              </w:divBdr>
                                                              <w:divsChild>
                                                                <w:div w:id="1059549741">
                                                                  <w:marLeft w:val="0"/>
                                                                  <w:marRight w:val="0"/>
                                                                  <w:marTop w:val="0"/>
                                                                  <w:marBottom w:val="600"/>
                                                                  <w:divBdr>
                                                                    <w:top w:val="none" w:sz="0" w:space="0" w:color="auto"/>
                                                                    <w:left w:val="none" w:sz="0" w:space="0" w:color="auto"/>
                                                                    <w:bottom w:val="none" w:sz="0" w:space="0" w:color="auto"/>
                                                                    <w:right w:val="none" w:sz="0" w:space="0" w:color="auto"/>
                                                                  </w:divBdr>
                                                                  <w:divsChild>
                                                                    <w:div w:id="11165606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DDE860-FDE2-457B-9B23-6B13A308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744</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4946</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moretti</cp:lastModifiedBy>
  <cp:revision>11</cp:revision>
  <cp:lastPrinted>2013-08-02T09:56:00Z</cp:lastPrinted>
  <dcterms:created xsi:type="dcterms:W3CDTF">2013-08-02T08:30:00Z</dcterms:created>
  <dcterms:modified xsi:type="dcterms:W3CDTF">2013-08-06T11:52:00Z</dcterms:modified>
</cp:coreProperties>
</file>