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78" w:rsidRPr="00F20B44" w:rsidRDefault="00AF0615" w:rsidP="005544C3">
      <w:pPr>
        <w:pStyle w:val="Corpodeltesto2"/>
        <w:tabs>
          <w:tab w:val="left" w:pos="4998"/>
        </w:tabs>
        <w:spacing w:line="360" w:lineRule="auto"/>
        <w:ind w:right="565"/>
        <w:rPr>
          <w:rFonts w:ascii="Arial" w:hAnsi="Arial" w:cs="Arial"/>
          <w:b w:val="0"/>
          <w:bCs w:val="0"/>
          <w:color w:val="0033CC"/>
          <w:sz w:val="24"/>
          <w:szCs w:val="40"/>
        </w:rPr>
      </w:pPr>
      <w:r>
        <w:rPr>
          <w:rFonts w:ascii="Open Sans" w:hAnsi="Open Sans"/>
          <w:noProof/>
          <w:color w:val="1F497D"/>
        </w:rPr>
        <w:drawing>
          <wp:inline distT="0" distB="0" distL="0" distR="0" wp14:anchorId="305BE9A5" wp14:editId="511F364F">
            <wp:extent cx="1433195" cy="1433195"/>
            <wp:effectExtent l="0" t="0" r="0" b="0"/>
            <wp:docPr id="1" name="Immagine 1" descr="cid:image009.jpg@01D03FA5.CD391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9.jpg@01D03FA5.CD391B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p w:rsidR="00580678" w:rsidRPr="00ED0979" w:rsidRDefault="00580678" w:rsidP="0068492E">
      <w:pPr>
        <w:pStyle w:val="Corpodeltesto2"/>
        <w:tabs>
          <w:tab w:val="left" w:pos="4998"/>
        </w:tabs>
        <w:spacing w:line="360" w:lineRule="auto"/>
        <w:ind w:right="565"/>
        <w:rPr>
          <w:rFonts w:ascii="Arial" w:hAnsi="Arial" w:cs="Arial"/>
          <w:b w:val="0"/>
          <w:bCs w:val="0"/>
          <w:color w:val="0033CC"/>
          <w:sz w:val="20"/>
          <w:szCs w:val="20"/>
        </w:rPr>
      </w:pPr>
    </w:p>
    <w:p w:rsidR="00580678" w:rsidRPr="00ED0979" w:rsidRDefault="00580678" w:rsidP="0068492E">
      <w:pPr>
        <w:pStyle w:val="Corpodeltesto2"/>
        <w:tabs>
          <w:tab w:val="left" w:pos="4998"/>
        </w:tabs>
        <w:spacing w:line="360" w:lineRule="auto"/>
        <w:ind w:right="565"/>
        <w:rPr>
          <w:rFonts w:ascii="Verdana" w:hAnsi="Verdana"/>
          <w:color w:val="00467E"/>
          <w:sz w:val="20"/>
          <w:szCs w:val="20"/>
        </w:rPr>
      </w:pPr>
      <w:r w:rsidRPr="00ED0979">
        <w:rPr>
          <w:rFonts w:ascii="Verdana" w:hAnsi="Verdana"/>
          <w:color w:val="00467E"/>
          <w:sz w:val="20"/>
          <w:szCs w:val="20"/>
        </w:rPr>
        <w:t>Nota di aggiornamento sui divari territoriali nell’economia italiana</w:t>
      </w:r>
    </w:p>
    <w:p w:rsidR="00580678" w:rsidRPr="00ED0979" w:rsidRDefault="008C347B" w:rsidP="005544C3">
      <w:pPr>
        <w:pStyle w:val="Corpodeltesto2"/>
        <w:tabs>
          <w:tab w:val="left" w:pos="4998"/>
        </w:tabs>
        <w:spacing w:line="360" w:lineRule="auto"/>
        <w:ind w:right="565"/>
        <w:rPr>
          <w:rFonts w:ascii="Verdana" w:hAnsi="Verdana"/>
          <w:color w:val="00467E"/>
          <w:sz w:val="20"/>
          <w:szCs w:val="20"/>
        </w:rPr>
      </w:pPr>
      <w:r w:rsidRPr="00ED0979">
        <w:rPr>
          <w:rFonts w:ascii="Verdana" w:hAnsi="Verdana"/>
          <w:color w:val="00467E"/>
          <w:sz w:val="20"/>
          <w:szCs w:val="20"/>
        </w:rPr>
        <w:t>2° Forum Terziario Donna</w:t>
      </w:r>
    </w:p>
    <w:p w:rsidR="00580678" w:rsidRPr="00ED0979" w:rsidRDefault="002B16F4" w:rsidP="0068492E">
      <w:pPr>
        <w:pStyle w:val="Corpodeltesto2"/>
        <w:tabs>
          <w:tab w:val="left" w:pos="4998"/>
        </w:tabs>
        <w:spacing w:line="360" w:lineRule="auto"/>
        <w:ind w:right="565"/>
        <w:rPr>
          <w:rFonts w:ascii="Verdana" w:hAnsi="Verdana"/>
          <w:color w:val="00467E"/>
          <w:sz w:val="20"/>
          <w:szCs w:val="20"/>
        </w:rPr>
      </w:pPr>
      <w:r w:rsidRPr="00ED0979">
        <w:rPr>
          <w:rFonts w:ascii="Verdana" w:hAnsi="Verdana"/>
          <w:color w:val="00467E"/>
          <w:sz w:val="20"/>
          <w:szCs w:val="20"/>
        </w:rPr>
        <w:t xml:space="preserve">Palermo,  </w:t>
      </w:r>
      <w:r w:rsidR="005544C3" w:rsidRPr="00ED0979">
        <w:rPr>
          <w:rFonts w:ascii="Verdana" w:hAnsi="Verdana"/>
          <w:color w:val="00467E"/>
          <w:sz w:val="20"/>
          <w:szCs w:val="20"/>
        </w:rPr>
        <w:t xml:space="preserve">16 </w:t>
      </w:r>
      <w:r w:rsidR="00580678" w:rsidRPr="00ED0979">
        <w:rPr>
          <w:rFonts w:ascii="Verdana" w:hAnsi="Verdana"/>
          <w:color w:val="00467E"/>
          <w:sz w:val="20"/>
          <w:szCs w:val="20"/>
        </w:rPr>
        <w:t>ottobre 2015</w:t>
      </w:r>
    </w:p>
    <w:p w:rsidR="00244358" w:rsidRPr="00ED0979" w:rsidRDefault="00244358" w:rsidP="004F7E14">
      <w:pPr>
        <w:pStyle w:val="Corpodeltesto2"/>
        <w:tabs>
          <w:tab w:val="left" w:pos="4998"/>
        </w:tabs>
        <w:spacing w:after="200"/>
        <w:ind w:right="567"/>
        <w:jc w:val="left"/>
        <w:rPr>
          <w:rFonts w:ascii="Verdana" w:hAnsi="Verdana" w:cs="Arial"/>
          <w:color w:val="00467E"/>
          <w:sz w:val="20"/>
          <w:szCs w:val="20"/>
        </w:rPr>
      </w:pPr>
    </w:p>
    <w:p w:rsidR="00580678" w:rsidRPr="00ED0979" w:rsidRDefault="00580678" w:rsidP="004F7E14">
      <w:pPr>
        <w:pStyle w:val="Corpodeltesto2"/>
        <w:tabs>
          <w:tab w:val="left" w:pos="4998"/>
        </w:tabs>
        <w:spacing w:after="200"/>
        <w:ind w:right="567"/>
        <w:jc w:val="left"/>
        <w:rPr>
          <w:rFonts w:ascii="Verdana" w:hAnsi="Verdana" w:cs="Arial"/>
          <w:color w:val="00467E"/>
          <w:sz w:val="20"/>
          <w:szCs w:val="20"/>
        </w:rPr>
      </w:pPr>
      <w:r w:rsidRPr="00ED0979">
        <w:rPr>
          <w:rFonts w:ascii="Verdana" w:hAnsi="Verdana" w:cs="Arial"/>
          <w:color w:val="00467E"/>
          <w:sz w:val="20"/>
          <w:szCs w:val="20"/>
        </w:rPr>
        <w:t>L’Italia a due velocità</w:t>
      </w:r>
    </w:p>
    <w:p w:rsidR="00580678" w:rsidRPr="00ED0979" w:rsidRDefault="00580678" w:rsidP="003C70EC">
      <w:pPr>
        <w:spacing w:line="360" w:lineRule="auto"/>
        <w:ind w:firstLine="708"/>
        <w:jc w:val="both"/>
        <w:rPr>
          <w:rFonts w:ascii="Verdana" w:hAnsi="Verdana" w:cs="Arial"/>
          <w:sz w:val="20"/>
        </w:rPr>
      </w:pPr>
      <w:r w:rsidRPr="00ED0979">
        <w:rPr>
          <w:rFonts w:ascii="Verdana" w:hAnsi="Verdana" w:cs="Arial"/>
          <w:sz w:val="20"/>
        </w:rPr>
        <w:t>A metà del 2015, tutti gli indicatori congiunturali segnalano l’uscita del nostro paese dalla lunga fase recessiva iniziata nel 2007. La ripresa, seppure avviata, non ha comunque ancora assunto toni che possano garantire in tempi rapidi il recupero di quanto perso negli ultimi anni.</w:t>
      </w:r>
    </w:p>
    <w:p w:rsidR="00580678" w:rsidRPr="00ED0979" w:rsidRDefault="00580678" w:rsidP="00EF124F">
      <w:pPr>
        <w:spacing w:after="200" w:line="360" w:lineRule="auto"/>
        <w:ind w:firstLine="709"/>
        <w:jc w:val="both"/>
        <w:rPr>
          <w:rFonts w:ascii="Verdana" w:hAnsi="Verdana" w:cs="Arial"/>
          <w:sz w:val="20"/>
        </w:rPr>
      </w:pPr>
      <w:r w:rsidRPr="00ED0979">
        <w:rPr>
          <w:rFonts w:ascii="Verdana" w:hAnsi="Verdana" w:cs="Arial"/>
          <w:sz w:val="20"/>
        </w:rPr>
        <w:t>La crescita stimata per l’anno in corso, 1,1%, ridurrà, infatti, solo in minima parte il divario che si è creato rispetto alla situazione pre-crisi, mantenendo la ricchezza prodotta e i consumi lontani dai livelli del 2007 (</w:t>
      </w:r>
      <w:proofErr w:type="spellStart"/>
      <w:r w:rsidRPr="00ED0979">
        <w:rPr>
          <w:rFonts w:ascii="Verdana" w:hAnsi="Verdana" w:cs="Arial"/>
          <w:sz w:val="20"/>
        </w:rPr>
        <w:t>tab</w:t>
      </w:r>
      <w:proofErr w:type="spellEnd"/>
      <w:r w:rsidRPr="00ED0979">
        <w:rPr>
          <w:rFonts w:ascii="Verdana" w:hAnsi="Verdana" w:cs="Arial"/>
          <w:sz w:val="20"/>
        </w:rPr>
        <w:t xml:space="preserve">. 1). In termini di </w:t>
      </w:r>
      <w:proofErr w:type="spellStart"/>
      <w:r w:rsidRPr="00ED0979">
        <w:rPr>
          <w:rFonts w:ascii="Verdana" w:hAnsi="Verdana" w:cs="Arial"/>
          <w:sz w:val="20"/>
        </w:rPr>
        <w:t>Pil</w:t>
      </w:r>
      <w:proofErr w:type="spellEnd"/>
      <w:r w:rsidRPr="00ED0979">
        <w:rPr>
          <w:rFonts w:ascii="Verdana" w:hAnsi="Verdana" w:cs="Arial"/>
          <w:sz w:val="20"/>
        </w:rPr>
        <w:t xml:space="preserve"> e consumi, il Mezzogiorno, che ha già subìto in misura più rilevante gli effetti della recessione non potendo contare su un contributo significativo della domanda estera, sconta ancora molte difficoltà e non sembra avviato sulla strada di una ripresa consolidata. Anche nel 2015 è stimata, infatti, una riduzione del </w:t>
      </w:r>
      <w:proofErr w:type="spellStart"/>
      <w:r w:rsidRPr="00ED0979">
        <w:rPr>
          <w:rFonts w:ascii="Verdana" w:hAnsi="Verdana" w:cs="Arial"/>
          <w:sz w:val="20"/>
        </w:rPr>
        <w:t>Pil</w:t>
      </w:r>
      <w:proofErr w:type="spellEnd"/>
      <w:r w:rsidRPr="00ED0979">
        <w:rPr>
          <w:rFonts w:ascii="Verdana" w:hAnsi="Verdana" w:cs="Arial"/>
          <w:sz w:val="20"/>
        </w:rPr>
        <w:t xml:space="preserve">. </w:t>
      </w:r>
    </w:p>
    <w:p w:rsidR="00580678" w:rsidRPr="00ED0979" w:rsidRDefault="00580678" w:rsidP="00A91626">
      <w:pPr>
        <w:pStyle w:val="Corpodeltesto2"/>
        <w:tabs>
          <w:tab w:val="left" w:pos="4998"/>
        </w:tabs>
        <w:ind w:right="567"/>
        <w:rPr>
          <w:rFonts w:ascii="Verdana" w:hAnsi="Verdana" w:cs="Arial"/>
          <w:color w:val="00467E"/>
          <w:sz w:val="20"/>
          <w:szCs w:val="20"/>
        </w:rPr>
      </w:pPr>
      <w:proofErr w:type="spellStart"/>
      <w:r w:rsidRPr="00ED0979">
        <w:rPr>
          <w:rFonts w:ascii="Verdana" w:hAnsi="Verdana" w:cs="Arial"/>
          <w:color w:val="00467E"/>
          <w:sz w:val="20"/>
          <w:szCs w:val="20"/>
        </w:rPr>
        <w:t>Tab</w:t>
      </w:r>
      <w:proofErr w:type="spellEnd"/>
      <w:r w:rsidRPr="00ED0979">
        <w:rPr>
          <w:rFonts w:ascii="Verdana" w:hAnsi="Verdana" w:cs="Arial"/>
          <w:color w:val="00467E"/>
          <w:sz w:val="20"/>
          <w:szCs w:val="20"/>
        </w:rPr>
        <w:t>. 1 - Differenti dinamiche Nord-Sud</w:t>
      </w:r>
    </w:p>
    <w:p w:rsidR="00580678" w:rsidRPr="00ED0979" w:rsidRDefault="00580678" w:rsidP="00A91626">
      <w:pPr>
        <w:pStyle w:val="Corpodeltesto2"/>
        <w:tabs>
          <w:tab w:val="left" w:pos="4998"/>
        </w:tabs>
        <w:ind w:right="567"/>
        <w:rPr>
          <w:rFonts w:ascii="Verdana" w:hAnsi="Verdana" w:cs="Arial"/>
          <w:color w:val="00467E"/>
          <w:sz w:val="20"/>
          <w:szCs w:val="20"/>
        </w:rPr>
      </w:pPr>
      <w:proofErr w:type="spellStart"/>
      <w:r w:rsidRPr="00ED0979">
        <w:rPr>
          <w:rFonts w:ascii="Verdana" w:hAnsi="Verdana" w:cs="Arial"/>
          <w:color w:val="00467E"/>
          <w:sz w:val="20"/>
          <w:szCs w:val="20"/>
        </w:rPr>
        <w:t>var</w:t>
      </w:r>
      <w:proofErr w:type="spellEnd"/>
      <w:r w:rsidRPr="00ED0979">
        <w:rPr>
          <w:rFonts w:ascii="Verdana" w:hAnsi="Verdana" w:cs="Arial"/>
          <w:color w:val="00467E"/>
          <w:sz w:val="20"/>
          <w:szCs w:val="20"/>
        </w:rPr>
        <w:t xml:space="preserve">. % </w:t>
      </w:r>
      <w:proofErr w:type="spellStart"/>
      <w:r w:rsidRPr="00ED0979">
        <w:rPr>
          <w:rFonts w:ascii="Verdana" w:hAnsi="Verdana" w:cs="Arial"/>
          <w:color w:val="00467E"/>
          <w:sz w:val="20"/>
          <w:szCs w:val="20"/>
        </w:rPr>
        <w:t>m.a</w:t>
      </w:r>
      <w:proofErr w:type="spellEnd"/>
      <w:r w:rsidRPr="00ED0979">
        <w:rPr>
          <w:rFonts w:ascii="Verdana" w:hAnsi="Verdana" w:cs="Arial"/>
          <w:color w:val="00467E"/>
          <w:sz w:val="20"/>
          <w:szCs w:val="20"/>
        </w:rPr>
        <w:t>. in termini reali</w:t>
      </w:r>
    </w:p>
    <w:tbl>
      <w:tblPr>
        <w:tblW w:w="7980" w:type="dxa"/>
        <w:jc w:val="center"/>
        <w:tblInd w:w="55" w:type="dxa"/>
        <w:tblCellMar>
          <w:left w:w="70" w:type="dxa"/>
          <w:right w:w="70" w:type="dxa"/>
        </w:tblCellMar>
        <w:tblLook w:val="00A0" w:firstRow="1" w:lastRow="0" w:firstColumn="1" w:lastColumn="0" w:noHBand="0" w:noVBand="0"/>
      </w:tblPr>
      <w:tblGrid>
        <w:gridCol w:w="1942"/>
        <w:gridCol w:w="1102"/>
        <w:gridCol w:w="1102"/>
        <w:gridCol w:w="1102"/>
        <w:gridCol w:w="1102"/>
        <w:gridCol w:w="815"/>
        <w:gridCol w:w="815"/>
      </w:tblGrid>
      <w:tr w:rsidR="00580678" w:rsidRPr="008C347B" w:rsidTr="00A91626">
        <w:trPr>
          <w:trHeight w:val="300"/>
          <w:jc w:val="center"/>
        </w:trPr>
        <w:tc>
          <w:tcPr>
            <w:tcW w:w="7980" w:type="dxa"/>
            <w:gridSpan w:val="7"/>
            <w:tcBorders>
              <w:top w:val="single" w:sz="4" w:space="0" w:color="auto"/>
              <w:left w:val="single" w:sz="4" w:space="0" w:color="auto"/>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proofErr w:type="spellStart"/>
            <w:r w:rsidRPr="008C347B">
              <w:rPr>
                <w:rFonts w:ascii="Verdana" w:hAnsi="Verdana" w:cs="Arial"/>
                <w:b/>
                <w:bCs/>
                <w:color w:val="000000"/>
                <w:sz w:val="16"/>
                <w:szCs w:val="16"/>
              </w:rPr>
              <w:t>Pil</w:t>
            </w:r>
            <w:proofErr w:type="spellEnd"/>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 </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96-09</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10-12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2013</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2014</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2015</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2016</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Centro-Nord</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0,8</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-1,3</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-0,2</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1,5</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1,7</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Sud</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0,8</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-1,5</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-3,3</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-1,2</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-0,5</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0,5</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b/>
                <w:bCs/>
                <w:color w:val="000000"/>
                <w:sz w:val="16"/>
                <w:szCs w:val="16"/>
              </w:rPr>
            </w:pPr>
            <w:r w:rsidRPr="008C347B">
              <w:rPr>
                <w:rFonts w:ascii="Verdana" w:hAnsi="Verdana" w:cs="Arial"/>
                <w:b/>
                <w:bCs/>
                <w:color w:val="000000"/>
                <w:sz w:val="16"/>
                <w:szCs w:val="16"/>
              </w:rPr>
              <w:t>ITALIA</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0,8</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-0,2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-1,7</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-0,4</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1,1</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1,4</w:t>
            </w:r>
          </w:p>
        </w:tc>
      </w:tr>
      <w:tr w:rsidR="00580678" w:rsidRPr="008C347B" w:rsidTr="00A91626">
        <w:trPr>
          <w:trHeight w:val="300"/>
          <w:jc w:val="center"/>
        </w:trPr>
        <w:tc>
          <w:tcPr>
            <w:tcW w:w="7980" w:type="dxa"/>
            <w:gridSpan w:val="7"/>
            <w:tcBorders>
              <w:top w:val="single" w:sz="4" w:space="0" w:color="auto"/>
              <w:left w:val="single" w:sz="4" w:space="0" w:color="auto"/>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Consumi</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 </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96-09</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10-12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2013</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2014</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2015</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2016</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Centro-Nord</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-0,6</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-2,4</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0,6</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1,5</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1,3</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Sud</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0,5</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-1,5</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0,0</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0,3</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0,2</w:t>
            </w: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b/>
                <w:bCs/>
                <w:color w:val="000000"/>
                <w:sz w:val="16"/>
                <w:szCs w:val="16"/>
              </w:rPr>
            </w:pPr>
            <w:r w:rsidRPr="008C347B">
              <w:rPr>
                <w:rFonts w:ascii="Verdana" w:hAnsi="Verdana" w:cs="Arial"/>
                <w:b/>
                <w:bCs/>
                <w:color w:val="000000"/>
                <w:sz w:val="16"/>
                <w:szCs w:val="16"/>
              </w:rPr>
              <w:t>ITALIA</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1,0</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-0,8</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-2,6</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0,4</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1,2</w:t>
            </w:r>
          </w:p>
        </w:tc>
        <w:tc>
          <w:tcPr>
            <w:tcW w:w="815"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1,0</w:t>
            </w:r>
          </w:p>
        </w:tc>
      </w:tr>
      <w:tr w:rsidR="00580678" w:rsidRPr="008C347B" w:rsidTr="00A91626">
        <w:trPr>
          <w:trHeight w:val="300"/>
          <w:jc w:val="center"/>
        </w:trPr>
        <w:tc>
          <w:tcPr>
            <w:tcW w:w="6350" w:type="dxa"/>
            <w:gridSpan w:val="5"/>
            <w:tcBorders>
              <w:top w:val="single" w:sz="4" w:space="0" w:color="auto"/>
              <w:left w:val="single" w:sz="4" w:space="0" w:color="auto"/>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 xml:space="preserve">Popolazione </w:t>
            </w: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 </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1980</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1990</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2014</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2016</w:t>
            </w: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Centro-Nord (in %)</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64,6</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63,8</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65,6</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65,7</w:t>
            </w: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Sud (in %)</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35,4</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36,2</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34,4</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34,3</w:t>
            </w: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r>
      <w:tr w:rsidR="00580678" w:rsidRPr="008C347B" w:rsidTr="00A91626">
        <w:trPr>
          <w:trHeight w:val="300"/>
          <w:jc w:val="center"/>
        </w:trPr>
        <w:tc>
          <w:tcPr>
            <w:tcW w:w="1942" w:type="dxa"/>
            <w:tcBorders>
              <w:top w:val="nil"/>
              <w:left w:val="single" w:sz="4" w:space="0" w:color="auto"/>
              <w:bottom w:val="single" w:sz="4" w:space="0" w:color="auto"/>
              <w:right w:val="single" w:sz="4" w:space="0" w:color="auto"/>
            </w:tcBorders>
            <w:noWrap/>
            <w:vAlign w:val="center"/>
          </w:tcPr>
          <w:p w:rsidR="00580678" w:rsidRPr="008C347B" w:rsidRDefault="00580678" w:rsidP="008C71C0">
            <w:pPr>
              <w:rPr>
                <w:rFonts w:ascii="Verdana" w:hAnsi="Verdana" w:cs="Arial"/>
                <w:b/>
                <w:bCs/>
                <w:color w:val="000000"/>
                <w:sz w:val="16"/>
                <w:szCs w:val="16"/>
              </w:rPr>
            </w:pPr>
            <w:r w:rsidRPr="008C347B">
              <w:rPr>
                <w:rFonts w:ascii="Verdana" w:hAnsi="Verdana" w:cs="Arial"/>
                <w:b/>
                <w:bCs/>
                <w:color w:val="000000"/>
                <w:sz w:val="16"/>
                <w:szCs w:val="16"/>
              </w:rPr>
              <w:t>ITALIA (migliaia)</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56.434</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56.719</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60.789</w:t>
            </w:r>
          </w:p>
        </w:tc>
        <w:tc>
          <w:tcPr>
            <w:tcW w:w="1102" w:type="dxa"/>
            <w:tcBorders>
              <w:top w:val="nil"/>
              <w:left w:val="nil"/>
              <w:bottom w:val="single" w:sz="4" w:space="0" w:color="auto"/>
              <w:right w:val="single" w:sz="4" w:space="0" w:color="auto"/>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61.188</w:t>
            </w: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c>
          <w:tcPr>
            <w:tcW w:w="815"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p>
        </w:tc>
      </w:tr>
    </w:tbl>
    <w:p w:rsidR="00580678" w:rsidRDefault="00580678" w:rsidP="00A91626">
      <w:pPr>
        <w:spacing w:after="200" w:line="360" w:lineRule="auto"/>
        <w:ind w:left="851"/>
        <w:rPr>
          <w:rFonts w:ascii="Verdana" w:hAnsi="Verdana" w:cs="Arial"/>
          <w:sz w:val="16"/>
          <w:szCs w:val="16"/>
        </w:rPr>
      </w:pPr>
      <w:r w:rsidRPr="00A91626">
        <w:rPr>
          <w:rFonts w:ascii="Verdana" w:hAnsi="Verdana" w:cs="Arial"/>
          <w:sz w:val="16"/>
          <w:szCs w:val="16"/>
        </w:rPr>
        <w:t>Elaborazioni e stime Ufficio Studi Confcommercio su dati Istat.</w:t>
      </w:r>
    </w:p>
    <w:p w:rsidR="00580678" w:rsidRPr="00ED0979" w:rsidRDefault="00580678" w:rsidP="00EF124F">
      <w:pPr>
        <w:spacing w:line="360" w:lineRule="auto"/>
        <w:ind w:firstLine="708"/>
        <w:jc w:val="both"/>
        <w:rPr>
          <w:rFonts w:ascii="Verdana" w:hAnsi="Verdana" w:cs="Arial"/>
          <w:sz w:val="20"/>
        </w:rPr>
      </w:pPr>
      <w:r w:rsidRPr="00ED0979">
        <w:rPr>
          <w:rFonts w:ascii="Verdana" w:hAnsi="Verdana" w:cs="Arial"/>
          <w:sz w:val="20"/>
        </w:rPr>
        <w:lastRenderedPageBreak/>
        <w:t xml:space="preserve">Le diverse </w:t>
      </w:r>
      <w:r w:rsidRPr="00ED0979">
        <w:rPr>
          <w:rFonts w:ascii="Verdana" w:hAnsi="Verdana" w:cs="Arial"/>
          <w:i/>
          <w:sz w:val="20"/>
        </w:rPr>
        <w:t>performance</w:t>
      </w:r>
      <w:r w:rsidRPr="00ED0979">
        <w:rPr>
          <w:rFonts w:ascii="Verdana" w:hAnsi="Verdana" w:cs="Arial"/>
          <w:sz w:val="20"/>
        </w:rPr>
        <w:t xml:space="preserve"> realizzate dal Centro-nord e dal Mezzogiorno si sono inserite in un contesto che ha visto anche uno spostamento di quote di popolazione dal meridione al resto del paese. </w:t>
      </w:r>
    </w:p>
    <w:p w:rsidR="005544C3" w:rsidRDefault="00580678" w:rsidP="0055447E">
      <w:pPr>
        <w:spacing w:after="200" w:line="360" w:lineRule="auto"/>
        <w:ind w:firstLine="709"/>
        <w:jc w:val="both"/>
        <w:rPr>
          <w:rFonts w:ascii="Verdana" w:hAnsi="Verdana" w:cs="Arial"/>
          <w:color w:val="0000FF"/>
          <w:sz w:val="16"/>
          <w:szCs w:val="16"/>
        </w:rPr>
      </w:pPr>
      <w:r w:rsidRPr="00ED0979">
        <w:rPr>
          <w:rFonts w:ascii="Verdana" w:hAnsi="Verdana" w:cs="Arial"/>
          <w:sz w:val="20"/>
        </w:rPr>
        <w:t xml:space="preserve">In termini pro capite, il </w:t>
      </w:r>
      <w:proofErr w:type="spellStart"/>
      <w:r w:rsidRPr="00ED0979">
        <w:rPr>
          <w:rFonts w:ascii="Verdana" w:hAnsi="Verdana" w:cs="Arial"/>
          <w:sz w:val="20"/>
        </w:rPr>
        <w:t>Pil</w:t>
      </w:r>
      <w:proofErr w:type="spellEnd"/>
      <w:r w:rsidRPr="00ED0979">
        <w:rPr>
          <w:rFonts w:ascii="Verdana" w:hAnsi="Verdana" w:cs="Arial"/>
          <w:sz w:val="20"/>
        </w:rPr>
        <w:t xml:space="preserve"> dell’anno in corso, espresso ai prezzi attuali, risulterebbe ancora inferiore di circa 3mila e 600 euro rispetto al 2007, con una flessione dell’11,9% (</w:t>
      </w:r>
      <w:proofErr w:type="spellStart"/>
      <w:r w:rsidRPr="00ED0979">
        <w:rPr>
          <w:rFonts w:ascii="Verdana" w:hAnsi="Verdana" w:cs="Arial"/>
          <w:sz w:val="20"/>
        </w:rPr>
        <w:t>tab</w:t>
      </w:r>
      <w:proofErr w:type="spellEnd"/>
      <w:r w:rsidRPr="00ED0979">
        <w:rPr>
          <w:rFonts w:ascii="Verdana" w:hAnsi="Verdana" w:cs="Arial"/>
          <w:sz w:val="20"/>
        </w:rPr>
        <w:t xml:space="preserve">. 2). </w:t>
      </w:r>
    </w:p>
    <w:p w:rsidR="00580678" w:rsidRPr="00ED0979" w:rsidRDefault="00580678" w:rsidP="00ED0979">
      <w:pPr>
        <w:pStyle w:val="Corpodeltesto2"/>
        <w:tabs>
          <w:tab w:val="left" w:pos="4998"/>
        </w:tabs>
        <w:ind w:right="567"/>
        <w:rPr>
          <w:rFonts w:ascii="Verdana" w:hAnsi="Verdana" w:cs="Arial"/>
          <w:color w:val="00467E"/>
          <w:sz w:val="20"/>
          <w:szCs w:val="20"/>
        </w:rPr>
      </w:pPr>
      <w:proofErr w:type="spellStart"/>
      <w:r w:rsidRPr="00ED0979">
        <w:rPr>
          <w:rFonts w:ascii="Verdana" w:hAnsi="Verdana" w:cs="Arial"/>
          <w:color w:val="00467E"/>
          <w:sz w:val="20"/>
          <w:szCs w:val="20"/>
        </w:rPr>
        <w:t>Tab</w:t>
      </w:r>
      <w:proofErr w:type="spellEnd"/>
      <w:r w:rsidRPr="00ED0979">
        <w:rPr>
          <w:rFonts w:ascii="Verdana" w:hAnsi="Verdana" w:cs="Arial"/>
          <w:color w:val="00467E"/>
          <w:sz w:val="20"/>
          <w:szCs w:val="20"/>
        </w:rPr>
        <w:t xml:space="preserve">. 2 - </w:t>
      </w:r>
      <w:proofErr w:type="spellStart"/>
      <w:r w:rsidRPr="00ED0979">
        <w:rPr>
          <w:rFonts w:ascii="Verdana" w:hAnsi="Verdana" w:cs="Arial"/>
          <w:color w:val="00467E"/>
          <w:sz w:val="20"/>
          <w:szCs w:val="20"/>
        </w:rPr>
        <w:t>Pil</w:t>
      </w:r>
      <w:proofErr w:type="spellEnd"/>
      <w:r w:rsidRPr="00ED0979">
        <w:rPr>
          <w:rFonts w:ascii="Verdana" w:hAnsi="Verdana" w:cs="Arial"/>
          <w:color w:val="00467E"/>
          <w:sz w:val="20"/>
          <w:szCs w:val="20"/>
        </w:rPr>
        <w:t xml:space="preserve"> pro capite a prezzi 2015 (migliaia di euro)</w:t>
      </w:r>
    </w:p>
    <w:tbl>
      <w:tblPr>
        <w:tblW w:w="6267" w:type="dxa"/>
        <w:jc w:val="center"/>
        <w:tblInd w:w="55" w:type="dxa"/>
        <w:tblCellMar>
          <w:left w:w="70" w:type="dxa"/>
          <w:right w:w="70" w:type="dxa"/>
        </w:tblCellMar>
        <w:tblLook w:val="00A0" w:firstRow="1" w:lastRow="0" w:firstColumn="1" w:lastColumn="0" w:noHBand="0" w:noVBand="0"/>
      </w:tblPr>
      <w:tblGrid>
        <w:gridCol w:w="2334"/>
        <w:gridCol w:w="1573"/>
        <w:gridCol w:w="1180"/>
        <w:gridCol w:w="1180"/>
      </w:tblGrid>
      <w:tr w:rsidR="00580678" w:rsidRPr="008C347B" w:rsidTr="00ED0979">
        <w:trPr>
          <w:trHeight w:val="645"/>
          <w:jc w:val="center"/>
        </w:trPr>
        <w:tc>
          <w:tcPr>
            <w:tcW w:w="2334" w:type="dxa"/>
            <w:tcBorders>
              <w:top w:val="single" w:sz="4" w:space="0" w:color="auto"/>
              <w:left w:val="nil"/>
              <w:bottom w:val="single" w:sz="4" w:space="0" w:color="auto"/>
              <w:right w:val="nil"/>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 </w:t>
            </w:r>
          </w:p>
        </w:tc>
        <w:tc>
          <w:tcPr>
            <w:tcW w:w="1573" w:type="dxa"/>
            <w:tcBorders>
              <w:top w:val="single" w:sz="4" w:space="0" w:color="auto"/>
              <w:left w:val="nil"/>
              <w:bottom w:val="single" w:sz="4" w:space="0" w:color="auto"/>
              <w:right w:val="nil"/>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2007</w:t>
            </w:r>
          </w:p>
        </w:tc>
        <w:tc>
          <w:tcPr>
            <w:tcW w:w="1180" w:type="dxa"/>
            <w:tcBorders>
              <w:top w:val="single" w:sz="4" w:space="0" w:color="auto"/>
              <w:left w:val="nil"/>
              <w:bottom w:val="single" w:sz="4" w:space="0" w:color="auto"/>
              <w:right w:val="nil"/>
            </w:tcBorders>
            <w:noWrap/>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2015</w:t>
            </w:r>
          </w:p>
        </w:tc>
        <w:tc>
          <w:tcPr>
            <w:tcW w:w="1180" w:type="dxa"/>
            <w:tcBorders>
              <w:top w:val="single" w:sz="4" w:space="0" w:color="auto"/>
              <w:left w:val="nil"/>
              <w:bottom w:val="single" w:sz="4" w:space="0" w:color="auto"/>
              <w:right w:val="nil"/>
            </w:tcBorders>
            <w:vAlign w:val="center"/>
          </w:tcPr>
          <w:p w:rsidR="00580678" w:rsidRPr="008C347B" w:rsidRDefault="00580678" w:rsidP="008C71C0">
            <w:pPr>
              <w:jc w:val="center"/>
              <w:rPr>
                <w:rFonts w:ascii="Verdana" w:hAnsi="Verdana" w:cs="Arial"/>
                <w:b/>
                <w:bCs/>
                <w:color w:val="000000"/>
                <w:sz w:val="16"/>
                <w:szCs w:val="16"/>
              </w:rPr>
            </w:pPr>
            <w:r w:rsidRPr="008C347B">
              <w:rPr>
                <w:rFonts w:ascii="Verdana" w:hAnsi="Verdana" w:cs="Arial"/>
                <w:b/>
                <w:bCs/>
                <w:color w:val="000000"/>
                <w:sz w:val="16"/>
                <w:szCs w:val="16"/>
              </w:rPr>
              <w:t> 2015-2007</w:t>
            </w:r>
          </w:p>
        </w:tc>
      </w:tr>
      <w:tr w:rsidR="00580678" w:rsidRPr="008C347B" w:rsidTr="00ED0979">
        <w:trPr>
          <w:trHeight w:val="369"/>
          <w:jc w:val="center"/>
        </w:trPr>
        <w:tc>
          <w:tcPr>
            <w:tcW w:w="2334"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Centro-Nord</w:t>
            </w:r>
          </w:p>
        </w:tc>
        <w:tc>
          <w:tcPr>
            <w:tcW w:w="1573"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35,8</w:t>
            </w:r>
          </w:p>
        </w:tc>
        <w:tc>
          <w:tcPr>
            <w:tcW w:w="1180"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31,8</w:t>
            </w:r>
          </w:p>
        </w:tc>
        <w:tc>
          <w:tcPr>
            <w:tcW w:w="1180"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-4,0</w:t>
            </w:r>
          </w:p>
        </w:tc>
      </w:tr>
      <w:tr w:rsidR="00580678" w:rsidRPr="008C347B" w:rsidTr="00ED0979">
        <w:trPr>
          <w:trHeight w:val="369"/>
          <w:jc w:val="center"/>
        </w:trPr>
        <w:tc>
          <w:tcPr>
            <w:tcW w:w="2334" w:type="dxa"/>
            <w:tcBorders>
              <w:top w:val="nil"/>
              <w:left w:val="nil"/>
              <w:bottom w:val="nil"/>
              <w:right w:val="nil"/>
            </w:tcBorders>
            <w:noWrap/>
            <w:vAlign w:val="center"/>
          </w:tcPr>
          <w:p w:rsidR="00580678" w:rsidRPr="008C347B" w:rsidRDefault="00580678" w:rsidP="008C71C0">
            <w:pPr>
              <w:rPr>
                <w:rFonts w:ascii="Verdana" w:hAnsi="Verdana" w:cs="Arial"/>
                <w:color w:val="000000"/>
                <w:sz w:val="16"/>
                <w:szCs w:val="16"/>
              </w:rPr>
            </w:pPr>
            <w:r w:rsidRPr="008C347B">
              <w:rPr>
                <w:rFonts w:ascii="Verdana" w:hAnsi="Verdana" w:cs="Arial"/>
                <w:color w:val="000000"/>
                <w:sz w:val="16"/>
                <w:szCs w:val="16"/>
              </w:rPr>
              <w:t>Sud</w:t>
            </w:r>
          </w:p>
        </w:tc>
        <w:tc>
          <w:tcPr>
            <w:tcW w:w="1573"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20,6</w:t>
            </w:r>
          </w:p>
        </w:tc>
        <w:tc>
          <w:tcPr>
            <w:tcW w:w="1180"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17,2</w:t>
            </w:r>
          </w:p>
        </w:tc>
        <w:tc>
          <w:tcPr>
            <w:tcW w:w="1180" w:type="dxa"/>
            <w:tcBorders>
              <w:top w:val="nil"/>
              <w:left w:val="nil"/>
              <w:bottom w:val="nil"/>
              <w:right w:val="nil"/>
            </w:tcBorders>
            <w:noWrap/>
            <w:vAlign w:val="center"/>
          </w:tcPr>
          <w:p w:rsidR="00580678" w:rsidRPr="008C347B" w:rsidRDefault="00580678" w:rsidP="008C71C0">
            <w:pPr>
              <w:jc w:val="center"/>
              <w:rPr>
                <w:rFonts w:ascii="Verdana" w:hAnsi="Verdana" w:cs="Arial"/>
                <w:sz w:val="16"/>
                <w:szCs w:val="16"/>
              </w:rPr>
            </w:pPr>
            <w:r w:rsidRPr="008C347B">
              <w:rPr>
                <w:rFonts w:ascii="Verdana" w:hAnsi="Verdana" w:cs="Arial"/>
                <w:sz w:val="16"/>
                <w:szCs w:val="16"/>
              </w:rPr>
              <w:t>-3,4</w:t>
            </w:r>
          </w:p>
        </w:tc>
      </w:tr>
      <w:tr w:rsidR="00580678" w:rsidRPr="008C347B" w:rsidTr="00ED0979">
        <w:trPr>
          <w:trHeight w:val="355"/>
          <w:jc w:val="center"/>
        </w:trPr>
        <w:tc>
          <w:tcPr>
            <w:tcW w:w="2334" w:type="dxa"/>
            <w:tcBorders>
              <w:top w:val="nil"/>
              <w:left w:val="nil"/>
              <w:bottom w:val="single" w:sz="4" w:space="0" w:color="auto"/>
              <w:right w:val="nil"/>
            </w:tcBorders>
            <w:noWrap/>
            <w:vAlign w:val="center"/>
          </w:tcPr>
          <w:p w:rsidR="00580678" w:rsidRPr="008C347B" w:rsidRDefault="00580678" w:rsidP="008C71C0">
            <w:pPr>
              <w:rPr>
                <w:rFonts w:ascii="Verdana" w:hAnsi="Verdana" w:cs="Arial"/>
                <w:b/>
                <w:bCs/>
                <w:color w:val="000000"/>
                <w:sz w:val="16"/>
                <w:szCs w:val="16"/>
              </w:rPr>
            </w:pPr>
            <w:r w:rsidRPr="008C347B">
              <w:rPr>
                <w:rFonts w:ascii="Verdana" w:hAnsi="Verdana" w:cs="Arial"/>
                <w:b/>
                <w:bCs/>
                <w:color w:val="000000"/>
                <w:sz w:val="16"/>
                <w:szCs w:val="16"/>
              </w:rPr>
              <w:t>ITALIA</w:t>
            </w:r>
          </w:p>
        </w:tc>
        <w:tc>
          <w:tcPr>
            <w:tcW w:w="1573" w:type="dxa"/>
            <w:tcBorders>
              <w:top w:val="nil"/>
              <w:left w:val="nil"/>
              <w:bottom w:val="single" w:sz="4" w:space="0" w:color="auto"/>
              <w:right w:val="nil"/>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30,4</w:t>
            </w:r>
          </w:p>
        </w:tc>
        <w:tc>
          <w:tcPr>
            <w:tcW w:w="1180" w:type="dxa"/>
            <w:tcBorders>
              <w:top w:val="nil"/>
              <w:left w:val="nil"/>
              <w:bottom w:val="single" w:sz="4" w:space="0" w:color="auto"/>
              <w:right w:val="nil"/>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26,8</w:t>
            </w:r>
          </w:p>
        </w:tc>
        <w:tc>
          <w:tcPr>
            <w:tcW w:w="1180" w:type="dxa"/>
            <w:tcBorders>
              <w:top w:val="nil"/>
              <w:left w:val="nil"/>
              <w:bottom w:val="single" w:sz="4" w:space="0" w:color="auto"/>
              <w:right w:val="nil"/>
            </w:tcBorders>
            <w:noWrap/>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-3,6</w:t>
            </w:r>
          </w:p>
        </w:tc>
      </w:tr>
    </w:tbl>
    <w:p w:rsidR="00580678" w:rsidRPr="008C347B" w:rsidRDefault="00580678" w:rsidP="00ED0979">
      <w:pPr>
        <w:spacing w:after="200" w:line="360" w:lineRule="auto"/>
        <w:ind w:left="2268"/>
        <w:rPr>
          <w:rFonts w:ascii="Verdana" w:hAnsi="Verdana" w:cs="Arial"/>
          <w:sz w:val="16"/>
          <w:szCs w:val="16"/>
        </w:rPr>
      </w:pPr>
      <w:r w:rsidRPr="008C347B">
        <w:rPr>
          <w:rFonts w:ascii="Verdana" w:hAnsi="Verdana" w:cs="Arial"/>
          <w:sz w:val="16"/>
          <w:szCs w:val="16"/>
        </w:rPr>
        <w:t>Elaborazioni e stime Ufficio Studi Confcommercio su dati Istat.</w:t>
      </w:r>
    </w:p>
    <w:p w:rsidR="00580678" w:rsidRPr="00ED0979" w:rsidRDefault="00580678" w:rsidP="00EF124F">
      <w:pPr>
        <w:spacing w:line="360" w:lineRule="auto"/>
        <w:ind w:firstLine="708"/>
        <w:jc w:val="both"/>
        <w:rPr>
          <w:rFonts w:ascii="Verdana" w:hAnsi="Verdana" w:cs="Arial"/>
          <w:sz w:val="20"/>
        </w:rPr>
      </w:pPr>
      <w:r w:rsidRPr="00ED0979">
        <w:rPr>
          <w:rFonts w:ascii="Verdana" w:hAnsi="Verdana" w:cs="Arial"/>
          <w:sz w:val="20"/>
        </w:rPr>
        <w:t xml:space="preserve">La riduzione, pur interessando tutte le aree del paese, ha avuto toni particolarmente accentuati nel Mezzogiorno. Se in valori assoluti la contrazione più sensibile si è registrata nel Centro-nord (-4.000 euro a prezzi costanti), è al Sud che si è rilevata la caduta più pesante in rapporto alla situazione del 2007, con una flessione del </w:t>
      </w:r>
      <w:proofErr w:type="spellStart"/>
      <w:r w:rsidRPr="00ED0979">
        <w:rPr>
          <w:rFonts w:ascii="Verdana" w:hAnsi="Verdana" w:cs="Arial"/>
          <w:sz w:val="20"/>
        </w:rPr>
        <w:t>Pil</w:t>
      </w:r>
      <w:proofErr w:type="spellEnd"/>
      <w:r w:rsidRPr="00ED0979">
        <w:rPr>
          <w:rFonts w:ascii="Verdana" w:hAnsi="Verdana" w:cs="Arial"/>
          <w:sz w:val="20"/>
        </w:rPr>
        <w:t xml:space="preserve"> pro capite di oltre il 16% (pari a 3.400 euro).</w:t>
      </w:r>
    </w:p>
    <w:p w:rsidR="00580678" w:rsidRPr="00ED0979" w:rsidRDefault="00580678" w:rsidP="00122D2F">
      <w:pPr>
        <w:spacing w:line="360" w:lineRule="auto"/>
        <w:ind w:firstLine="708"/>
        <w:jc w:val="both"/>
        <w:rPr>
          <w:rFonts w:ascii="Verdana" w:hAnsi="Verdana" w:cs="Arial"/>
          <w:sz w:val="20"/>
        </w:rPr>
      </w:pPr>
      <w:r w:rsidRPr="00ED0979">
        <w:rPr>
          <w:rFonts w:ascii="Verdana" w:hAnsi="Verdana" w:cs="Arial"/>
          <w:sz w:val="20"/>
        </w:rPr>
        <w:t>Quest’evoluzione ha comportato l’aggravamento di una situazione che vedeva il Sud partire da una condizione nettamente peggiore: nel 2007 il reddito pro capite nel Sud era pari al 57,5% di quello del Centro-nord, oggi è poco più del 54%.</w:t>
      </w:r>
    </w:p>
    <w:p w:rsidR="00580678" w:rsidRPr="00ED0979" w:rsidRDefault="00580678" w:rsidP="00565844">
      <w:pPr>
        <w:spacing w:line="360" w:lineRule="auto"/>
        <w:jc w:val="both"/>
        <w:rPr>
          <w:rFonts w:ascii="Verdana" w:hAnsi="Verdana" w:cs="Arial"/>
          <w:sz w:val="20"/>
        </w:rPr>
      </w:pPr>
    </w:p>
    <w:p w:rsidR="00580678" w:rsidRPr="00ED0979" w:rsidRDefault="00580678" w:rsidP="004F7E14">
      <w:pPr>
        <w:pStyle w:val="Corpodeltesto2"/>
        <w:tabs>
          <w:tab w:val="left" w:pos="4998"/>
        </w:tabs>
        <w:spacing w:after="200"/>
        <w:ind w:right="567"/>
        <w:jc w:val="left"/>
        <w:rPr>
          <w:rFonts w:ascii="Verdana" w:hAnsi="Verdana" w:cs="Arial"/>
          <w:color w:val="00467E"/>
          <w:sz w:val="20"/>
          <w:szCs w:val="20"/>
        </w:rPr>
      </w:pPr>
      <w:r w:rsidRPr="00ED0979">
        <w:rPr>
          <w:rFonts w:ascii="Verdana" w:hAnsi="Verdana" w:cs="Arial"/>
          <w:color w:val="00467E"/>
          <w:sz w:val="20"/>
          <w:szCs w:val="20"/>
        </w:rPr>
        <w:t>Le imprese del commercio al dettaglio</w:t>
      </w:r>
    </w:p>
    <w:p w:rsidR="00580678" w:rsidRPr="00ED0979" w:rsidRDefault="00580678" w:rsidP="00EF124F">
      <w:pPr>
        <w:spacing w:line="360" w:lineRule="auto"/>
        <w:ind w:firstLine="708"/>
        <w:jc w:val="both"/>
        <w:rPr>
          <w:rFonts w:ascii="Verdana" w:hAnsi="Verdana" w:cs="Arial"/>
          <w:sz w:val="20"/>
        </w:rPr>
      </w:pPr>
      <w:r w:rsidRPr="00ED0979">
        <w:rPr>
          <w:rFonts w:ascii="Verdana" w:hAnsi="Verdana" w:cs="Arial"/>
          <w:sz w:val="20"/>
        </w:rPr>
        <w:t xml:space="preserve">La forte contrazione dei consumi degli ultimi anni ha prodotto situazioni di crisi il cui effetto immediato è stata la chiusura, in tutte le regioni, di molte imprese che non hanno avuto i mezzi e le capacità per superare le difficoltà e riposizionarsi nel nuovo contesto di mercato. </w:t>
      </w:r>
    </w:p>
    <w:p w:rsidR="00580678" w:rsidRPr="00ED0979" w:rsidRDefault="00580678" w:rsidP="00EF124F">
      <w:pPr>
        <w:spacing w:line="360" w:lineRule="auto"/>
        <w:ind w:firstLine="708"/>
        <w:jc w:val="both"/>
        <w:rPr>
          <w:rFonts w:ascii="Verdana" w:hAnsi="Verdana" w:cs="Arial"/>
          <w:sz w:val="20"/>
        </w:rPr>
      </w:pPr>
      <w:r w:rsidRPr="00ED0979">
        <w:rPr>
          <w:rFonts w:ascii="Verdana" w:hAnsi="Verdana" w:cs="Arial"/>
          <w:sz w:val="20"/>
        </w:rPr>
        <w:t>Nella fase attuale, la ripresa non ha arrestato, ma solo attenuato, la riduzione della base imprenditoriale del commercio al dettaglio che continua, comunque, a offrire opportunità e spazi per nuove iniziative imprenditoriali. La demografia delle imprese registra nella prima parte del 2015 un numero di cessazioni ancora superiore alle aperture, così come era avvenuto nel 2014.</w:t>
      </w:r>
    </w:p>
    <w:p w:rsidR="00580678" w:rsidRPr="00ED0979" w:rsidRDefault="00580678" w:rsidP="00EF124F">
      <w:pPr>
        <w:spacing w:after="200" w:line="360" w:lineRule="auto"/>
        <w:ind w:firstLine="709"/>
        <w:jc w:val="both"/>
        <w:rPr>
          <w:rFonts w:ascii="Verdana" w:hAnsi="Verdana" w:cs="Arial"/>
          <w:sz w:val="20"/>
        </w:rPr>
      </w:pPr>
      <w:r w:rsidRPr="00ED0979">
        <w:rPr>
          <w:rFonts w:ascii="Verdana" w:hAnsi="Verdana" w:cs="Arial"/>
          <w:sz w:val="20"/>
        </w:rPr>
        <w:t>A livello territoriale, l’area che continua a evidenziare le maggiori difficoltà nello sviluppo della rete imprenditoriale è il Centro-nord, dove il rapporto tra saldo e stock di aziende presenta un dato negativo maggiore rispetto al Mezzogiorno (</w:t>
      </w:r>
      <w:proofErr w:type="spellStart"/>
      <w:r w:rsidRPr="00ED0979">
        <w:rPr>
          <w:rFonts w:ascii="Verdana" w:hAnsi="Verdana" w:cs="Arial"/>
          <w:sz w:val="20"/>
        </w:rPr>
        <w:t>tab</w:t>
      </w:r>
      <w:proofErr w:type="spellEnd"/>
      <w:r w:rsidRPr="00ED0979">
        <w:rPr>
          <w:rFonts w:ascii="Verdana" w:hAnsi="Verdana" w:cs="Arial"/>
          <w:sz w:val="20"/>
        </w:rPr>
        <w:t xml:space="preserve">. 3). Resta, dunque, vero che la maggiore tenuta nel meridione del sistema commerciale, pur con differenziazioni tra le diverse regioni, è un fenomeno strutturale che deriva dalle storiche difficoltà che si rilevano nell’area a trovare un’occupazione alle dipendenze soprattutto per donne e giovani. </w:t>
      </w:r>
    </w:p>
    <w:p w:rsidR="0055447E" w:rsidRDefault="0055447E" w:rsidP="00ED0979">
      <w:pPr>
        <w:jc w:val="center"/>
        <w:rPr>
          <w:rFonts w:ascii="Verdana" w:hAnsi="Verdana" w:cs="Arial"/>
          <w:b/>
          <w:color w:val="00467E"/>
          <w:sz w:val="20"/>
        </w:rPr>
      </w:pPr>
    </w:p>
    <w:p w:rsidR="00580678" w:rsidRPr="00ED0979" w:rsidRDefault="00580678" w:rsidP="00ED0979">
      <w:pPr>
        <w:jc w:val="center"/>
        <w:rPr>
          <w:rFonts w:ascii="Verdana" w:hAnsi="Verdana" w:cs="Arial"/>
          <w:b/>
          <w:color w:val="00467E"/>
          <w:sz w:val="20"/>
        </w:rPr>
      </w:pPr>
      <w:bookmarkStart w:id="0" w:name="_GoBack"/>
      <w:bookmarkEnd w:id="0"/>
      <w:proofErr w:type="spellStart"/>
      <w:r w:rsidRPr="00ED0979">
        <w:rPr>
          <w:rFonts w:ascii="Verdana" w:hAnsi="Verdana" w:cs="Arial"/>
          <w:b/>
          <w:color w:val="00467E"/>
          <w:sz w:val="20"/>
        </w:rPr>
        <w:t>Tab</w:t>
      </w:r>
      <w:proofErr w:type="spellEnd"/>
      <w:r w:rsidRPr="00ED0979">
        <w:rPr>
          <w:rFonts w:ascii="Verdana" w:hAnsi="Verdana" w:cs="Arial"/>
          <w:b/>
          <w:color w:val="00467E"/>
          <w:sz w:val="20"/>
        </w:rPr>
        <w:t>. 3 - Nati-mortalità delle imprese del commercio al dettaglio</w:t>
      </w:r>
    </w:p>
    <w:tbl>
      <w:tblPr>
        <w:tblW w:w="6660" w:type="dxa"/>
        <w:jc w:val="center"/>
        <w:tblInd w:w="55" w:type="dxa"/>
        <w:tblCellMar>
          <w:left w:w="70" w:type="dxa"/>
          <w:right w:w="70" w:type="dxa"/>
        </w:tblCellMar>
        <w:tblLook w:val="00A0" w:firstRow="1" w:lastRow="0" w:firstColumn="1" w:lastColumn="0" w:noHBand="0" w:noVBand="0"/>
      </w:tblPr>
      <w:tblGrid>
        <w:gridCol w:w="1911"/>
        <w:gridCol w:w="1811"/>
        <w:gridCol w:w="962"/>
        <w:gridCol w:w="913"/>
        <w:gridCol w:w="1063"/>
      </w:tblGrid>
      <w:tr w:rsidR="00580678" w:rsidRPr="008C347B" w:rsidTr="00ED0979">
        <w:trPr>
          <w:trHeight w:val="300"/>
          <w:jc w:val="center"/>
        </w:trPr>
        <w:tc>
          <w:tcPr>
            <w:tcW w:w="6660" w:type="dxa"/>
            <w:gridSpan w:val="5"/>
            <w:tcBorders>
              <w:top w:val="single" w:sz="4" w:space="0" w:color="auto"/>
              <w:left w:val="single" w:sz="4" w:space="0" w:color="auto"/>
              <w:bottom w:val="single" w:sz="4" w:space="0" w:color="auto"/>
              <w:right w:val="single" w:sz="4" w:space="0" w:color="000000"/>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2014</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Centro-Nord</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Sud</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Sicilia</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Italia</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Iscrizioni</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23.343</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19.981</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3.739</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43.324</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Cessazioni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35.763</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28.744</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7.348</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64.507</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Saldo</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-12.420</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-8.763</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-3.609</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-21.183</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Saldo %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-2,5</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-2,3</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-4,2</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-2,4</w:t>
            </w:r>
          </w:p>
        </w:tc>
      </w:tr>
      <w:tr w:rsidR="00580678" w:rsidRPr="008C347B" w:rsidTr="00ED0979">
        <w:trPr>
          <w:trHeight w:val="300"/>
          <w:jc w:val="center"/>
        </w:trPr>
        <w:tc>
          <w:tcPr>
            <w:tcW w:w="6660" w:type="dxa"/>
            <w:gridSpan w:val="5"/>
            <w:tcBorders>
              <w:top w:val="single" w:sz="4" w:space="0" w:color="auto"/>
              <w:left w:val="single" w:sz="4" w:space="0" w:color="auto"/>
              <w:bottom w:val="single" w:sz="4" w:space="0" w:color="auto"/>
              <w:right w:val="single" w:sz="4" w:space="0" w:color="000000"/>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I semestre 2015</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Centro-Nord</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Sud</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Sicilia</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b/>
                <w:bCs/>
                <w:color w:val="000000"/>
                <w:sz w:val="16"/>
                <w:szCs w:val="16"/>
              </w:rPr>
            </w:pPr>
            <w:r w:rsidRPr="008C347B">
              <w:rPr>
                <w:rFonts w:ascii="Verdana" w:hAnsi="Verdana" w:cs="Arial"/>
                <w:b/>
                <w:bCs/>
                <w:color w:val="000000"/>
                <w:sz w:val="16"/>
                <w:szCs w:val="16"/>
              </w:rPr>
              <w:t>Italia</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Iscrizioni</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 xml:space="preserve"> 12.566</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10.785</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2.064</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23.351</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Cessazioni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19.835</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15.188</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3.888</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35.023</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Saldo</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-7.269</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-4.403</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-1.824</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-11.672</w:t>
            </w:r>
          </w:p>
        </w:tc>
      </w:tr>
      <w:tr w:rsidR="00580678" w:rsidRPr="008C347B" w:rsidTr="00ED0979">
        <w:trPr>
          <w:trHeight w:val="300"/>
          <w:jc w:val="center"/>
        </w:trPr>
        <w:tc>
          <w:tcPr>
            <w:tcW w:w="1911" w:type="dxa"/>
            <w:tcBorders>
              <w:top w:val="nil"/>
              <w:left w:val="single" w:sz="4" w:space="0" w:color="auto"/>
              <w:bottom w:val="single" w:sz="4" w:space="0" w:color="auto"/>
              <w:right w:val="single" w:sz="4" w:space="0" w:color="auto"/>
            </w:tcBorders>
            <w:noWrap/>
            <w:vAlign w:val="center"/>
          </w:tcPr>
          <w:p w:rsidR="00580678" w:rsidRPr="008C347B" w:rsidRDefault="00580678" w:rsidP="003C70EC">
            <w:pPr>
              <w:rPr>
                <w:rFonts w:ascii="Verdana" w:hAnsi="Verdana" w:cs="Arial"/>
                <w:color w:val="000000"/>
                <w:sz w:val="16"/>
                <w:szCs w:val="16"/>
              </w:rPr>
            </w:pPr>
            <w:r w:rsidRPr="008C347B">
              <w:rPr>
                <w:rFonts w:ascii="Verdana" w:hAnsi="Verdana" w:cs="Arial"/>
                <w:color w:val="000000"/>
                <w:sz w:val="16"/>
                <w:szCs w:val="16"/>
              </w:rPr>
              <w:t>Saldo % (**)</w:t>
            </w:r>
          </w:p>
        </w:tc>
        <w:tc>
          <w:tcPr>
            <w:tcW w:w="1811"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-1,5</w:t>
            </w:r>
          </w:p>
        </w:tc>
        <w:tc>
          <w:tcPr>
            <w:tcW w:w="962"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-1,2</w:t>
            </w:r>
          </w:p>
        </w:tc>
        <w:tc>
          <w:tcPr>
            <w:tcW w:w="91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-2,1</w:t>
            </w:r>
          </w:p>
        </w:tc>
        <w:tc>
          <w:tcPr>
            <w:tcW w:w="1063" w:type="dxa"/>
            <w:tcBorders>
              <w:top w:val="nil"/>
              <w:left w:val="nil"/>
              <w:bottom w:val="single" w:sz="4" w:space="0" w:color="auto"/>
              <w:right w:val="single" w:sz="4" w:space="0" w:color="auto"/>
            </w:tcBorders>
            <w:noWrap/>
            <w:vAlign w:val="center"/>
          </w:tcPr>
          <w:p w:rsidR="00580678" w:rsidRPr="008C347B" w:rsidRDefault="00580678" w:rsidP="003C70EC">
            <w:pPr>
              <w:jc w:val="center"/>
              <w:rPr>
                <w:rFonts w:ascii="Verdana" w:hAnsi="Verdana" w:cs="Arial"/>
                <w:color w:val="000000"/>
                <w:sz w:val="16"/>
                <w:szCs w:val="16"/>
              </w:rPr>
            </w:pPr>
            <w:r w:rsidRPr="008C347B">
              <w:rPr>
                <w:rFonts w:ascii="Verdana" w:hAnsi="Verdana" w:cs="Arial"/>
                <w:color w:val="000000"/>
                <w:sz w:val="16"/>
                <w:szCs w:val="16"/>
              </w:rPr>
              <w:t>-1,3</w:t>
            </w:r>
          </w:p>
        </w:tc>
      </w:tr>
    </w:tbl>
    <w:p w:rsidR="00580678" w:rsidRPr="008C347B" w:rsidRDefault="00580678" w:rsidP="00ED0979">
      <w:pPr>
        <w:ind w:left="1418" w:right="1416"/>
        <w:rPr>
          <w:rFonts w:ascii="Verdana" w:hAnsi="Verdana" w:cs="Arial"/>
          <w:color w:val="000000"/>
          <w:sz w:val="16"/>
          <w:szCs w:val="16"/>
        </w:rPr>
      </w:pPr>
      <w:r w:rsidRPr="008C347B">
        <w:rPr>
          <w:rFonts w:ascii="Verdana" w:hAnsi="Verdana" w:cs="Arial"/>
          <w:color w:val="000000"/>
          <w:sz w:val="16"/>
          <w:szCs w:val="16"/>
        </w:rPr>
        <w:t>(*) il numero delle cessazioni comprende quelle d'ufficio; (**) è dato dal rapporto tra il saldo del periodo e lo stock delle imprese registrate al 31 dicembre dell'anno precedente.</w:t>
      </w:r>
    </w:p>
    <w:p w:rsidR="00580678" w:rsidRPr="008C347B" w:rsidRDefault="00580678" w:rsidP="00ED0979">
      <w:pPr>
        <w:spacing w:after="200"/>
        <w:ind w:left="1418" w:right="1416"/>
        <w:rPr>
          <w:rFonts w:ascii="Verdana" w:hAnsi="Verdana" w:cs="Arial"/>
          <w:color w:val="000000"/>
          <w:sz w:val="16"/>
          <w:szCs w:val="16"/>
        </w:rPr>
      </w:pPr>
      <w:r w:rsidRPr="008C347B">
        <w:rPr>
          <w:rFonts w:ascii="Verdana" w:hAnsi="Verdana" w:cs="Arial"/>
          <w:color w:val="000000"/>
          <w:sz w:val="16"/>
          <w:szCs w:val="16"/>
        </w:rPr>
        <w:t xml:space="preserve">Elaborazione Ufficio Studi Confcommercio su dati </w:t>
      </w:r>
      <w:proofErr w:type="spellStart"/>
      <w:r w:rsidRPr="008C347B">
        <w:rPr>
          <w:rFonts w:ascii="Verdana" w:hAnsi="Verdana" w:cs="Arial"/>
          <w:color w:val="000000"/>
          <w:sz w:val="16"/>
          <w:szCs w:val="16"/>
        </w:rPr>
        <w:t>Movimprese</w:t>
      </w:r>
      <w:proofErr w:type="spellEnd"/>
      <w:r w:rsidRPr="008C347B">
        <w:rPr>
          <w:rFonts w:ascii="Verdana" w:hAnsi="Verdana" w:cs="Arial"/>
          <w:color w:val="000000"/>
          <w:sz w:val="16"/>
          <w:szCs w:val="16"/>
        </w:rPr>
        <w:t>.</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L’andamento della demografia delle imprese della Sicilia evidenzia per il sistema commerciale, come già rilevato nel 2014, maggiori difficoltà, dato che il rapporto tra saldo e stock di imprese (saldo %) ha un valore negativo superiore a quello della ripartizione e dell’Italia, indizio di una possibile maggiore gravità della crisi economica in Sicilia non soltanto rispetto al Centro-nord ma anche rispetto alle altre regioni meridionali.</w:t>
      </w:r>
    </w:p>
    <w:p w:rsidR="00580678" w:rsidRPr="00ED0979" w:rsidRDefault="00580678" w:rsidP="00FE75BC">
      <w:pPr>
        <w:spacing w:line="360" w:lineRule="auto"/>
        <w:ind w:firstLine="708"/>
        <w:jc w:val="both"/>
        <w:rPr>
          <w:rFonts w:ascii="Verdana" w:hAnsi="Verdana" w:cs="Arial"/>
          <w:sz w:val="20"/>
        </w:rPr>
      </w:pPr>
    </w:p>
    <w:p w:rsidR="00580678" w:rsidRPr="00ED0979" w:rsidRDefault="00580678" w:rsidP="004F7E14">
      <w:pPr>
        <w:pStyle w:val="Corpodeltesto2"/>
        <w:tabs>
          <w:tab w:val="left" w:pos="4998"/>
        </w:tabs>
        <w:spacing w:after="200"/>
        <w:ind w:right="567"/>
        <w:jc w:val="left"/>
        <w:rPr>
          <w:rFonts w:ascii="Verdana" w:hAnsi="Verdana" w:cs="Arial"/>
          <w:color w:val="00467E"/>
          <w:sz w:val="20"/>
          <w:szCs w:val="20"/>
        </w:rPr>
      </w:pPr>
      <w:r w:rsidRPr="00ED0979">
        <w:rPr>
          <w:rFonts w:ascii="Verdana" w:hAnsi="Verdana" w:cs="Arial"/>
          <w:color w:val="00467E"/>
          <w:sz w:val="20"/>
          <w:szCs w:val="20"/>
        </w:rPr>
        <w:t>Il mercato del lavoro in Sicilia</w:t>
      </w:r>
    </w:p>
    <w:p w:rsidR="00580678" w:rsidRPr="00ED0979" w:rsidRDefault="00580678" w:rsidP="002E3F55">
      <w:pPr>
        <w:spacing w:after="200" w:line="360" w:lineRule="auto"/>
        <w:ind w:firstLine="709"/>
        <w:jc w:val="both"/>
        <w:rPr>
          <w:rFonts w:ascii="Verdana" w:hAnsi="Verdana" w:cs="Arial"/>
          <w:sz w:val="20"/>
        </w:rPr>
      </w:pPr>
      <w:r w:rsidRPr="00ED0979">
        <w:rPr>
          <w:rFonts w:ascii="Verdana" w:hAnsi="Verdana" w:cs="Arial"/>
          <w:sz w:val="20"/>
        </w:rPr>
        <w:t>La ripresa dell’attività economica iniziata alla fine del 2014 sta cominciando a produrre effetti sul mercato del lavoro, che aveva conosciuto negli anni della crisi una sensibile riduzione delle persone occupate e un rilevante aumento dei disoccupati (</w:t>
      </w:r>
      <w:proofErr w:type="spellStart"/>
      <w:r w:rsidRPr="00ED0979">
        <w:rPr>
          <w:rFonts w:ascii="Verdana" w:hAnsi="Verdana" w:cs="Arial"/>
          <w:sz w:val="20"/>
        </w:rPr>
        <w:t>tab</w:t>
      </w:r>
      <w:proofErr w:type="spellEnd"/>
      <w:r w:rsidRPr="00ED0979">
        <w:rPr>
          <w:rFonts w:ascii="Verdana" w:hAnsi="Verdana" w:cs="Arial"/>
          <w:sz w:val="20"/>
        </w:rPr>
        <w:t>. 4).</w:t>
      </w:r>
    </w:p>
    <w:p w:rsidR="00580678" w:rsidRPr="00ED0979" w:rsidRDefault="00580678" w:rsidP="00ED0979">
      <w:pPr>
        <w:pStyle w:val="Corpodeltesto2"/>
        <w:tabs>
          <w:tab w:val="left" w:pos="4998"/>
        </w:tabs>
        <w:ind w:right="567"/>
        <w:rPr>
          <w:rFonts w:ascii="Verdana" w:hAnsi="Verdana" w:cs="Arial"/>
          <w:color w:val="00467E"/>
          <w:sz w:val="20"/>
          <w:szCs w:val="20"/>
        </w:rPr>
      </w:pPr>
      <w:proofErr w:type="spellStart"/>
      <w:r w:rsidRPr="00ED0979">
        <w:rPr>
          <w:rFonts w:ascii="Verdana" w:hAnsi="Verdana" w:cs="Arial"/>
          <w:color w:val="00467E"/>
          <w:sz w:val="20"/>
          <w:szCs w:val="20"/>
        </w:rPr>
        <w:t>Tab</w:t>
      </w:r>
      <w:proofErr w:type="spellEnd"/>
      <w:r w:rsidRPr="00ED0979">
        <w:rPr>
          <w:rFonts w:ascii="Verdana" w:hAnsi="Verdana" w:cs="Arial"/>
          <w:color w:val="00467E"/>
          <w:sz w:val="20"/>
          <w:szCs w:val="20"/>
        </w:rPr>
        <w:t>. 4 - Il mercato del lavoro</w:t>
      </w:r>
    </w:p>
    <w:p w:rsidR="00580678" w:rsidRPr="00ED0979" w:rsidRDefault="00580678" w:rsidP="00ED0979">
      <w:pPr>
        <w:pStyle w:val="Corpodeltesto2"/>
        <w:tabs>
          <w:tab w:val="left" w:pos="4998"/>
        </w:tabs>
        <w:ind w:right="567"/>
        <w:rPr>
          <w:rFonts w:ascii="Verdana" w:hAnsi="Verdana" w:cs="Arial"/>
          <w:color w:val="00467E"/>
          <w:sz w:val="20"/>
          <w:szCs w:val="20"/>
        </w:rPr>
      </w:pPr>
      <w:r w:rsidRPr="00ED0979">
        <w:rPr>
          <w:rFonts w:ascii="Verdana" w:hAnsi="Verdana" w:cs="Arial"/>
          <w:color w:val="00467E"/>
          <w:sz w:val="20"/>
          <w:szCs w:val="20"/>
        </w:rPr>
        <w:t>dati in migliaia</w:t>
      </w:r>
    </w:p>
    <w:tbl>
      <w:tblPr>
        <w:tblW w:w="6640" w:type="dxa"/>
        <w:jc w:val="center"/>
        <w:tblInd w:w="55" w:type="dxa"/>
        <w:tblCellMar>
          <w:left w:w="70" w:type="dxa"/>
          <w:right w:w="70" w:type="dxa"/>
        </w:tblCellMar>
        <w:tblLook w:val="00A0" w:firstRow="1" w:lastRow="0" w:firstColumn="1" w:lastColumn="0" w:noHBand="0" w:noVBand="0"/>
      </w:tblPr>
      <w:tblGrid>
        <w:gridCol w:w="1840"/>
        <w:gridCol w:w="960"/>
        <w:gridCol w:w="960"/>
        <w:gridCol w:w="960"/>
        <w:gridCol w:w="960"/>
        <w:gridCol w:w="960"/>
      </w:tblGrid>
      <w:tr w:rsidR="00580678" w:rsidRPr="008C347B" w:rsidTr="00ED0979">
        <w:trPr>
          <w:trHeight w:val="765"/>
          <w:jc w:val="center"/>
        </w:trPr>
        <w:tc>
          <w:tcPr>
            <w:tcW w:w="1840" w:type="dxa"/>
            <w:tcBorders>
              <w:top w:val="single" w:sz="4" w:space="0" w:color="auto"/>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 </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BF7F08">
            <w:pPr>
              <w:jc w:val="center"/>
              <w:rPr>
                <w:rFonts w:ascii="Verdana" w:hAnsi="Verdana" w:cs="Arial"/>
                <w:b/>
                <w:bCs/>
                <w:sz w:val="16"/>
                <w:szCs w:val="16"/>
              </w:rPr>
            </w:pPr>
            <w:r w:rsidRPr="008C347B">
              <w:rPr>
                <w:rFonts w:ascii="Verdana" w:hAnsi="Verdana" w:cs="Arial"/>
                <w:b/>
                <w:bCs/>
                <w:sz w:val="16"/>
                <w:szCs w:val="16"/>
              </w:rPr>
              <w:t>2007</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BF7F08">
            <w:pPr>
              <w:jc w:val="center"/>
              <w:rPr>
                <w:rFonts w:ascii="Verdana" w:hAnsi="Verdana" w:cs="Arial"/>
                <w:b/>
                <w:bCs/>
                <w:sz w:val="16"/>
                <w:szCs w:val="16"/>
              </w:rPr>
            </w:pPr>
            <w:r w:rsidRPr="008C347B">
              <w:rPr>
                <w:rFonts w:ascii="Verdana" w:hAnsi="Verdana" w:cs="Arial"/>
                <w:b/>
                <w:bCs/>
                <w:sz w:val="16"/>
                <w:szCs w:val="16"/>
              </w:rPr>
              <w:t>2014</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 xml:space="preserve">I </w:t>
            </w:r>
            <w:proofErr w:type="spellStart"/>
            <w:r w:rsidRPr="008C347B">
              <w:rPr>
                <w:rFonts w:ascii="Verdana" w:hAnsi="Verdana" w:cs="Arial"/>
                <w:b/>
                <w:bCs/>
                <w:sz w:val="16"/>
                <w:szCs w:val="16"/>
              </w:rPr>
              <w:t>sem</w:t>
            </w:r>
            <w:proofErr w:type="spellEnd"/>
            <w:r w:rsidRPr="008C347B">
              <w:rPr>
                <w:rFonts w:ascii="Verdana" w:hAnsi="Verdana" w:cs="Arial"/>
                <w:b/>
                <w:bCs/>
                <w:sz w:val="16"/>
                <w:szCs w:val="16"/>
              </w:rPr>
              <w:t>. 2015</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 2014 su 2007</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8C71C0">
            <w:pPr>
              <w:jc w:val="center"/>
              <w:rPr>
                <w:rFonts w:ascii="Verdana" w:hAnsi="Verdana" w:cs="Arial"/>
                <w:b/>
                <w:bCs/>
                <w:sz w:val="16"/>
                <w:szCs w:val="16"/>
              </w:rPr>
            </w:pPr>
            <w:r w:rsidRPr="008C347B">
              <w:rPr>
                <w:rFonts w:ascii="Verdana" w:hAnsi="Verdana" w:cs="Arial"/>
                <w:b/>
                <w:bCs/>
                <w:sz w:val="16"/>
                <w:szCs w:val="16"/>
              </w:rPr>
              <w:t xml:space="preserve"> I </w:t>
            </w:r>
            <w:proofErr w:type="spellStart"/>
            <w:r w:rsidRPr="008C347B">
              <w:rPr>
                <w:rFonts w:ascii="Verdana" w:hAnsi="Verdana" w:cs="Arial"/>
                <w:b/>
                <w:bCs/>
                <w:sz w:val="16"/>
                <w:szCs w:val="16"/>
              </w:rPr>
              <w:t>sem</w:t>
            </w:r>
            <w:proofErr w:type="spellEnd"/>
            <w:r w:rsidRPr="008C347B">
              <w:rPr>
                <w:rFonts w:ascii="Verdana" w:hAnsi="Verdana" w:cs="Arial"/>
                <w:b/>
                <w:bCs/>
                <w:sz w:val="16"/>
                <w:szCs w:val="16"/>
              </w:rPr>
              <w:t>. 2015 su 2014</w:t>
            </w:r>
          </w:p>
        </w:tc>
      </w:tr>
      <w:tr w:rsidR="00580678" w:rsidRPr="008C347B" w:rsidTr="00ED0979">
        <w:trPr>
          <w:trHeight w:val="255"/>
          <w:jc w:val="center"/>
        </w:trPr>
        <w:tc>
          <w:tcPr>
            <w:tcW w:w="6640" w:type="dxa"/>
            <w:gridSpan w:val="6"/>
            <w:tcBorders>
              <w:top w:val="single" w:sz="4" w:space="0" w:color="auto"/>
              <w:left w:val="single" w:sz="4" w:space="0" w:color="auto"/>
              <w:bottom w:val="single" w:sz="4" w:space="0" w:color="auto"/>
              <w:right w:val="single" w:sz="4" w:space="0" w:color="000000"/>
            </w:tcBorders>
            <w:noWrap/>
            <w:vAlign w:val="center"/>
          </w:tcPr>
          <w:p w:rsidR="00580678" w:rsidRPr="008C347B" w:rsidRDefault="00580678" w:rsidP="00BF7F08">
            <w:pPr>
              <w:jc w:val="center"/>
              <w:rPr>
                <w:rFonts w:ascii="Verdana" w:hAnsi="Verdana" w:cs="Arial"/>
                <w:b/>
                <w:bCs/>
                <w:sz w:val="16"/>
                <w:szCs w:val="16"/>
              </w:rPr>
            </w:pPr>
            <w:r w:rsidRPr="008C347B">
              <w:rPr>
                <w:rFonts w:ascii="Verdana" w:hAnsi="Verdana" w:cs="Arial"/>
                <w:b/>
                <w:bCs/>
                <w:sz w:val="16"/>
                <w:szCs w:val="16"/>
              </w:rPr>
              <w:t>Sicilia</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Forze di lavoro</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1.700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1.698</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1.722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24</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1.481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1.322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1.332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-159</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10</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Disoccupati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219</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377</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390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157</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14</w:t>
            </w:r>
          </w:p>
        </w:tc>
      </w:tr>
      <w:tr w:rsidR="00580678" w:rsidRPr="008C347B" w:rsidTr="00ED0979">
        <w:trPr>
          <w:trHeight w:val="319"/>
          <w:jc w:val="center"/>
        </w:trPr>
        <w:tc>
          <w:tcPr>
            <w:tcW w:w="6640" w:type="dxa"/>
            <w:gridSpan w:val="6"/>
            <w:tcBorders>
              <w:top w:val="single" w:sz="4" w:space="0" w:color="auto"/>
              <w:left w:val="single" w:sz="4" w:space="0" w:color="auto"/>
              <w:bottom w:val="single" w:sz="4" w:space="0" w:color="auto"/>
              <w:right w:val="single" w:sz="4" w:space="0" w:color="000000"/>
            </w:tcBorders>
            <w:noWrap/>
            <w:vAlign w:val="center"/>
          </w:tcPr>
          <w:p w:rsidR="00580678" w:rsidRPr="008C347B" w:rsidRDefault="00580678" w:rsidP="00BF7F08">
            <w:pPr>
              <w:jc w:val="center"/>
              <w:rPr>
                <w:rFonts w:ascii="Verdana" w:hAnsi="Verdana" w:cs="Arial"/>
                <w:b/>
                <w:bCs/>
                <w:sz w:val="16"/>
                <w:szCs w:val="16"/>
              </w:rPr>
            </w:pPr>
            <w:r w:rsidRPr="008C347B">
              <w:rPr>
                <w:rFonts w:ascii="Verdana" w:hAnsi="Verdana" w:cs="Arial"/>
                <w:b/>
                <w:bCs/>
                <w:sz w:val="16"/>
                <w:szCs w:val="16"/>
              </w:rPr>
              <w:t>Sud</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Forze di lavoro</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7.263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7.382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7.420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119</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38</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6.466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5.856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5.911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-610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55</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Disoccupati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796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1.526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1.508</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730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-18</w:t>
            </w:r>
          </w:p>
        </w:tc>
      </w:tr>
      <w:tr w:rsidR="00580678" w:rsidRPr="008C347B" w:rsidTr="00ED0979">
        <w:trPr>
          <w:trHeight w:val="319"/>
          <w:jc w:val="center"/>
        </w:trPr>
        <w:tc>
          <w:tcPr>
            <w:tcW w:w="6640" w:type="dxa"/>
            <w:gridSpan w:val="6"/>
            <w:tcBorders>
              <w:top w:val="single" w:sz="4" w:space="0" w:color="auto"/>
              <w:left w:val="single" w:sz="4" w:space="0" w:color="auto"/>
              <w:bottom w:val="single" w:sz="4" w:space="0" w:color="auto"/>
              <w:right w:val="single" w:sz="4" w:space="0" w:color="000000"/>
            </w:tcBorders>
            <w:noWrap/>
            <w:vAlign w:val="center"/>
          </w:tcPr>
          <w:p w:rsidR="00580678" w:rsidRPr="008C347B" w:rsidRDefault="00580678" w:rsidP="00BF7F08">
            <w:pPr>
              <w:jc w:val="center"/>
              <w:rPr>
                <w:rFonts w:ascii="Verdana" w:hAnsi="Verdana" w:cs="Arial"/>
                <w:b/>
                <w:bCs/>
                <w:sz w:val="16"/>
                <w:szCs w:val="16"/>
              </w:rPr>
            </w:pPr>
            <w:r w:rsidRPr="008C347B">
              <w:rPr>
                <w:rFonts w:ascii="Verdana" w:hAnsi="Verdana" w:cs="Arial"/>
                <w:b/>
                <w:bCs/>
                <w:sz w:val="16"/>
                <w:szCs w:val="16"/>
              </w:rPr>
              <w:t>Centro-nord</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Forze di lavoro</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17.113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18.133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18.110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1.020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-23</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16.428</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16.423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16.416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BF7F08">
            <w:pPr>
              <w:rPr>
                <w:rFonts w:ascii="Verdana" w:hAnsi="Verdana" w:cs="Arial"/>
                <w:sz w:val="16"/>
                <w:szCs w:val="16"/>
              </w:rPr>
            </w:pPr>
            <w:r w:rsidRPr="008C347B">
              <w:rPr>
                <w:rFonts w:ascii="Verdana" w:hAnsi="Verdana" w:cs="Arial"/>
                <w:sz w:val="16"/>
                <w:szCs w:val="16"/>
              </w:rPr>
              <w:t>Disoccupati</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685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1.710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1.693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1.025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-17</w:t>
            </w:r>
          </w:p>
        </w:tc>
      </w:tr>
    </w:tbl>
    <w:p w:rsidR="00580678" w:rsidRPr="008C347B" w:rsidRDefault="00580678" w:rsidP="00ED0979">
      <w:pPr>
        <w:spacing w:after="200" w:line="360" w:lineRule="auto"/>
        <w:ind w:left="1560"/>
        <w:rPr>
          <w:rFonts w:ascii="Verdana" w:hAnsi="Verdana" w:cs="Arial"/>
          <w:sz w:val="16"/>
          <w:szCs w:val="16"/>
        </w:rPr>
      </w:pPr>
      <w:r w:rsidRPr="008C347B">
        <w:rPr>
          <w:rFonts w:ascii="Verdana" w:hAnsi="Verdana" w:cs="Arial"/>
          <w:sz w:val="16"/>
          <w:szCs w:val="16"/>
        </w:rPr>
        <w:t>Fonte: elaborazioni Ufficio Studi Confcommercio su dati Istat.</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Così come la recessione ha avuto diverse intensità a livello territoriale, anche il mercato del lavoro ha registrato dinamiche articolate. Nel complesso, l’occupazione ha mostrato segnali di minore difficoltà nel Centro-nord rispetto al Mezzogiorno, ma il dato di sintesi è frutto di situazioni territoriali non omogenee, con una maggior tenuta nelle zone dove il terziario è più presente.</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La Sicilia, che già scontava una situazione molto difficile, ha conosciuto un aggravamento della condizione occupazionale con l’espulsione dal mercato di 159mila occupati tra il 2007 ed il 2014. Questa dinamica ha comportato una riduzione della quota di occupati nella regione sia rispetto al Mezzogiorno sia all’Italia.</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 xml:space="preserve">La forte crescita del numero di persone in cerca di occupazione, rilevata negli ultimi anni nel Centro-nord (+149,7% tra il 2007 ed il 2014), che ha portato ad una maggiore concentrazione dei disoccupati in queste aree, riflette anche la ripresa dei fenomeni di migrazione interna. </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In Sicilia l’aumento dei disoccupati, +157mila unità tra il 2007 ed il 2014, è stato, in proporzione, più contenuto sia nei confronti di quanto registrato nel paese sia nel complesso del meridione. Va comunque sottolineato che la regione partiva da una condizione più negativa, in considerazione di un tasso di disoccupazione che si approssimava, già nel 2007, al 13%.</w:t>
      </w:r>
    </w:p>
    <w:p w:rsidR="00580678" w:rsidRPr="00ED0979" w:rsidRDefault="00580678" w:rsidP="007F71AE">
      <w:pPr>
        <w:spacing w:line="360" w:lineRule="auto"/>
        <w:ind w:firstLine="708"/>
        <w:jc w:val="both"/>
        <w:rPr>
          <w:rFonts w:ascii="Verdana" w:hAnsi="Verdana" w:cs="Arial"/>
          <w:sz w:val="20"/>
        </w:rPr>
      </w:pPr>
      <w:r w:rsidRPr="00ED0979">
        <w:rPr>
          <w:rFonts w:ascii="Verdana" w:hAnsi="Verdana" w:cs="Arial"/>
          <w:sz w:val="20"/>
        </w:rPr>
        <w:t>Analizzando quanto accaduto sul versante dell’occupazione per genere, si rileva come le difficoltà del mercato del lavoro abbiano interessato in misura più sensibile la componente maschile (</w:t>
      </w:r>
      <w:proofErr w:type="spellStart"/>
      <w:r w:rsidRPr="00ED0979">
        <w:rPr>
          <w:rFonts w:ascii="Verdana" w:hAnsi="Verdana" w:cs="Arial"/>
          <w:sz w:val="20"/>
        </w:rPr>
        <w:t>tab</w:t>
      </w:r>
      <w:proofErr w:type="spellEnd"/>
      <w:r w:rsidRPr="00ED0979">
        <w:rPr>
          <w:rFonts w:ascii="Verdana" w:hAnsi="Verdana" w:cs="Arial"/>
          <w:sz w:val="20"/>
        </w:rPr>
        <w:t>. 5).</w:t>
      </w:r>
    </w:p>
    <w:p w:rsidR="00ED6FB6" w:rsidRPr="00ED0979" w:rsidRDefault="00580678" w:rsidP="00ED0979">
      <w:pPr>
        <w:spacing w:after="200" w:line="360" w:lineRule="auto"/>
        <w:ind w:firstLine="709"/>
        <w:jc w:val="both"/>
        <w:rPr>
          <w:rFonts w:ascii="Verdana" w:hAnsi="Verdana" w:cs="Arial"/>
          <w:color w:val="0000FF"/>
          <w:sz w:val="20"/>
        </w:rPr>
      </w:pPr>
      <w:r w:rsidRPr="00ED0979">
        <w:rPr>
          <w:rFonts w:ascii="Verdana" w:hAnsi="Verdana" w:cs="Arial"/>
          <w:sz w:val="20"/>
        </w:rPr>
        <w:t>Il fenomeno è in parte spiegato dalle progressive restrizioni al pensionamento delle donne e dalla tendenza della componente femminile ad accettare posti di lavoro anche meno qualificati o remunerati.</w:t>
      </w:r>
    </w:p>
    <w:p w:rsidR="00580678" w:rsidRPr="00ED0979" w:rsidRDefault="00580678" w:rsidP="00ED0979">
      <w:pPr>
        <w:pStyle w:val="Corpodeltesto2"/>
        <w:tabs>
          <w:tab w:val="left" w:pos="4998"/>
        </w:tabs>
        <w:ind w:right="567"/>
        <w:rPr>
          <w:rFonts w:ascii="Verdana" w:hAnsi="Verdana" w:cs="Arial"/>
          <w:color w:val="00467E"/>
          <w:sz w:val="20"/>
          <w:szCs w:val="20"/>
        </w:rPr>
      </w:pPr>
      <w:proofErr w:type="spellStart"/>
      <w:r w:rsidRPr="00ED0979">
        <w:rPr>
          <w:rFonts w:ascii="Verdana" w:hAnsi="Verdana" w:cs="Arial"/>
          <w:color w:val="00467E"/>
          <w:sz w:val="20"/>
          <w:szCs w:val="20"/>
        </w:rPr>
        <w:t>Tab</w:t>
      </w:r>
      <w:proofErr w:type="spellEnd"/>
      <w:r w:rsidRPr="00ED0979">
        <w:rPr>
          <w:rFonts w:ascii="Verdana" w:hAnsi="Verdana" w:cs="Arial"/>
          <w:color w:val="00467E"/>
          <w:sz w:val="20"/>
          <w:szCs w:val="20"/>
        </w:rPr>
        <w:t>. 5 - Occupati per genere</w:t>
      </w:r>
    </w:p>
    <w:p w:rsidR="00580678" w:rsidRPr="00ED0979" w:rsidRDefault="00580678" w:rsidP="00ED0979">
      <w:pPr>
        <w:pStyle w:val="Corpodeltesto2"/>
        <w:tabs>
          <w:tab w:val="left" w:pos="4998"/>
        </w:tabs>
        <w:ind w:right="567"/>
        <w:rPr>
          <w:rFonts w:ascii="Verdana" w:hAnsi="Verdana" w:cs="Arial"/>
          <w:color w:val="00467E"/>
          <w:sz w:val="20"/>
          <w:szCs w:val="20"/>
        </w:rPr>
      </w:pPr>
      <w:r w:rsidRPr="00ED0979">
        <w:rPr>
          <w:rFonts w:ascii="Verdana" w:hAnsi="Verdana" w:cs="Arial"/>
          <w:color w:val="00467E"/>
          <w:sz w:val="20"/>
          <w:szCs w:val="20"/>
        </w:rPr>
        <w:t>dati in migliaia</w:t>
      </w:r>
    </w:p>
    <w:tbl>
      <w:tblPr>
        <w:tblW w:w="6640" w:type="dxa"/>
        <w:jc w:val="center"/>
        <w:tblInd w:w="55" w:type="dxa"/>
        <w:tblCellMar>
          <w:left w:w="70" w:type="dxa"/>
          <w:right w:w="70" w:type="dxa"/>
        </w:tblCellMar>
        <w:tblLook w:val="00A0" w:firstRow="1" w:lastRow="0" w:firstColumn="1" w:lastColumn="0" w:noHBand="0" w:noVBand="0"/>
      </w:tblPr>
      <w:tblGrid>
        <w:gridCol w:w="1840"/>
        <w:gridCol w:w="960"/>
        <w:gridCol w:w="960"/>
        <w:gridCol w:w="960"/>
        <w:gridCol w:w="960"/>
        <w:gridCol w:w="960"/>
      </w:tblGrid>
      <w:tr w:rsidR="00580678" w:rsidRPr="008C347B" w:rsidTr="00ED0979">
        <w:trPr>
          <w:trHeight w:val="765"/>
          <w:jc w:val="center"/>
        </w:trPr>
        <w:tc>
          <w:tcPr>
            <w:tcW w:w="1840" w:type="dxa"/>
            <w:tcBorders>
              <w:top w:val="single" w:sz="4" w:space="0" w:color="auto"/>
              <w:left w:val="single" w:sz="4" w:space="0" w:color="auto"/>
              <w:bottom w:val="single" w:sz="4" w:space="0" w:color="auto"/>
              <w:right w:val="single" w:sz="4" w:space="0" w:color="auto"/>
            </w:tcBorders>
            <w:noWrap/>
            <w:vAlign w:val="center"/>
          </w:tcPr>
          <w:p w:rsidR="00580678" w:rsidRPr="008C347B" w:rsidRDefault="00580678" w:rsidP="00454B9A">
            <w:pPr>
              <w:rPr>
                <w:rFonts w:ascii="Verdana" w:hAnsi="Verdana" w:cs="Arial"/>
                <w:sz w:val="16"/>
                <w:szCs w:val="16"/>
              </w:rPr>
            </w:pPr>
            <w:r w:rsidRPr="008C347B">
              <w:rPr>
                <w:rFonts w:ascii="Verdana" w:hAnsi="Verdana" w:cs="Arial"/>
                <w:sz w:val="16"/>
                <w:szCs w:val="16"/>
              </w:rPr>
              <w:t> </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2007</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2014</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 xml:space="preserve">I </w:t>
            </w:r>
            <w:proofErr w:type="spellStart"/>
            <w:r w:rsidRPr="008C347B">
              <w:rPr>
                <w:rFonts w:ascii="Verdana" w:hAnsi="Verdana" w:cs="Arial"/>
                <w:b/>
                <w:bCs/>
                <w:sz w:val="16"/>
                <w:szCs w:val="16"/>
              </w:rPr>
              <w:t>sem</w:t>
            </w:r>
            <w:proofErr w:type="spellEnd"/>
            <w:r w:rsidRPr="008C347B">
              <w:rPr>
                <w:rFonts w:ascii="Verdana" w:hAnsi="Verdana" w:cs="Arial"/>
                <w:b/>
                <w:bCs/>
                <w:sz w:val="16"/>
                <w:szCs w:val="16"/>
              </w:rPr>
              <w:t>. 2015</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 2014 su 2007</w:t>
            </w:r>
          </w:p>
        </w:tc>
        <w:tc>
          <w:tcPr>
            <w:tcW w:w="960" w:type="dxa"/>
            <w:tcBorders>
              <w:top w:val="single" w:sz="4" w:space="0" w:color="auto"/>
              <w:left w:val="nil"/>
              <w:bottom w:val="single" w:sz="4" w:space="0" w:color="auto"/>
              <w:right w:val="single" w:sz="4" w:space="0" w:color="auto"/>
            </w:tcBorders>
            <w:vAlign w:val="center"/>
          </w:tcPr>
          <w:p w:rsidR="00580678" w:rsidRPr="008C347B" w:rsidRDefault="00580678" w:rsidP="00984A1C">
            <w:pPr>
              <w:jc w:val="center"/>
              <w:rPr>
                <w:rFonts w:ascii="Verdana" w:hAnsi="Verdana" w:cs="Arial"/>
                <w:b/>
                <w:bCs/>
                <w:sz w:val="16"/>
                <w:szCs w:val="16"/>
              </w:rPr>
            </w:pPr>
            <w:r w:rsidRPr="008C347B">
              <w:rPr>
                <w:rFonts w:ascii="Verdana" w:hAnsi="Verdana" w:cs="Arial"/>
                <w:b/>
                <w:bCs/>
                <w:sz w:val="16"/>
                <w:szCs w:val="16"/>
              </w:rPr>
              <w:t xml:space="preserve"> </w:t>
            </w:r>
            <w:r w:rsidR="00077942" w:rsidRPr="008C347B">
              <w:rPr>
                <w:rFonts w:ascii="Verdana" w:hAnsi="Verdana" w:cs="Arial"/>
                <w:b/>
                <w:bCs/>
                <w:sz w:val="16"/>
                <w:szCs w:val="16"/>
              </w:rPr>
              <w:t xml:space="preserve">I </w:t>
            </w:r>
            <w:proofErr w:type="spellStart"/>
            <w:r w:rsidR="00077942" w:rsidRPr="008C347B">
              <w:rPr>
                <w:rFonts w:ascii="Verdana" w:hAnsi="Verdana" w:cs="Arial"/>
                <w:b/>
                <w:bCs/>
                <w:sz w:val="16"/>
                <w:szCs w:val="16"/>
              </w:rPr>
              <w:t>sem</w:t>
            </w:r>
            <w:proofErr w:type="spellEnd"/>
            <w:r w:rsidRPr="008C347B">
              <w:rPr>
                <w:rFonts w:ascii="Verdana" w:hAnsi="Verdana" w:cs="Arial"/>
                <w:b/>
                <w:bCs/>
                <w:sz w:val="16"/>
                <w:szCs w:val="16"/>
              </w:rPr>
              <w:t>. 2015 su 2014</w:t>
            </w:r>
          </w:p>
        </w:tc>
      </w:tr>
      <w:tr w:rsidR="00580678" w:rsidRPr="008C347B" w:rsidTr="00ED0979">
        <w:trPr>
          <w:trHeight w:val="319"/>
          <w:jc w:val="center"/>
        </w:trPr>
        <w:tc>
          <w:tcPr>
            <w:tcW w:w="1840" w:type="dxa"/>
            <w:tcBorders>
              <w:top w:val="nil"/>
              <w:left w:val="single" w:sz="4" w:space="0" w:color="auto"/>
              <w:bottom w:val="single" w:sz="4" w:space="0" w:color="auto"/>
              <w:right w:val="nil"/>
            </w:tcBorders>
            <w:noWrap/>
            <w:vAlign w:val="center"/>
          </w:tcPr>
          <w:p w:rsidR="00580678" w:rsidRPr="008C347B" w:rsidRDefault="00580678" w:rsidP="00454B9A">
            <w:pPr>
              <w:rPr>
                <w:rFonts w:ascii="Verdana" w:hAnsi="Verdana" w:cs="Arial"/>
                <w:b/>
                <w:bCs/>
                <w:sz w:val="16"/>
                <w:szCs w:val="16"/>
              </w:rPr>
            </w:pPr>
            <w:r w:rsidRPr="008C347B">
              <w:rPr>
                <w:rFonts w:ascii="Verdana" w:hAnsi="Verdana" w:cs="Arial"/>
                <w:b/>
                <w:bCs/>
                <w:sz w:val="16"/>
                <w:szCs w:val="16"/>
              </w:rPr>
              <w:t>Sicilia</w:t>
            </w:r>
          </w:p>
        </w:tc>
        <w:tc>
          <w:tcPr>
            <w:tcW w:w="960" w:type="dxa"/>
            <w:tcBorders>
              <w:top w:val="nil"/>
              <w:left w:val="single" w:sz="4" w:space="0" w:color="auto"/>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1.481</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1.322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1.332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-159</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10</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Maschi</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990</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855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851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-135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-4</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Femmine</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491</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467</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481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-24</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15</w:t>
            </w:r>
          </w:p>
        </w:tc>
      </w:tr>
      <w:tr w:rsidR="00580678" w:rsidRPr="008C347B" w:rsidTr="00ED0979">
        <w:trPr>
          <w:trHeight w:val="319"/>
          <w:jc w:val="center"/>
        </w:trPr>
        <w:tc>
          <w:tcPr>
            <w:tcW w:w="1840" w:type="dxa"/>
            <w:tcBorders>
              <w:top w:val="nil"/>
              <w:left w:val="single" w:sz="4" w:space="0" w:color="auto"/>
              <w:bottom w:val="single" w:sz="4" w:space="0" w:color="auto"/>
              <w:right w:val="nil"/>
            </w:tcBorders>
            <w:noWrap/>
            <w:vAlign w:val="center"/>
          </w:tcPr>
          <w:p w:rsidR="00580678" w:rsidRPr="008C347B" w:rsidRDefault="00580678" w:rsidP="00454B9A">
            <w:pPr>
              <w:rPr>
                <w:rFonts w:ascii="Verdana" w:hAnsi="Verdana" w:cs="Arial"/>
                <w:b/>
                <w:bCs/>
                <w:sz w:val="16"/>
                <w:szCs w:val="16"/>
              </w:rPr>
            </w:pPr>
            <w:r w:rsidRPr="008C347B">
              <w:rPr>
                <w:rFonts w:ascii="Verdana" w:hAnsi="Verdana" w:cs="Arial"/>
                <w:b/>
                <w:bCs/>
                <w:sz w:val="16"/>
                <w:szCs w:val="16"/>
              </w:rPr>
              <w:t>Sud</w:t>
            </w:r>
          </w:p>
        </w:tc>
        <w:tc>
          <w:tcPr>
            <w:tcW w:w="960" w:type="dxa"/>
            <w:tcBorders>
              <w:top w:val="nil"/>
              <w:left w:val="single" w:sz="4" w:space="0" w:color="auto"/>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6.466</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5.856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5.911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-610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55</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Maschi</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4.285</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3.722</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3.731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-563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9</w:t>
            </w:r>
          </w:p>
        </w:tc>
      </w:tr>
      <w:tr w:rsidR="00580678" w:rsidRPr="008C347B" w:rsidTr="00ED0979">
        <w:trPr>
          <w:trHeight w:val="319"/>
          <w:jc w:val="center"/>
        </w:trPr>
        <w:tc>
          <w:tcPr>
            <w:tcW w:w="1840" w:type="dxa"/>
            <w:tcBorders>
              <w:top w:val="nil"/>
              <w:left w:val="single" w:sz="4" w:space="0" w:color="auto"/>
              <w:bottom w:val="single" w:sz="4" w:space="0" w:color="auto"/>
              <w:right w:val="single" w:sz="4" w:space="0" w:color="auto"/>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Femmine</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2.181</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2.134</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2.181</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-47</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46</w:t>
            </w:r>
          </w:p>
        </w:tc>
      </w:tr>
      <w:tr w:rsidR="00580678" w:rsidRPr="008C347B" w:rsidTr="00ED0979">
        <w:trPr>
          <w:trHeight w:val="319"/>
          <w:jc w:val="center"/>
        </w:trPr>
        <w:tc>
          <w:tcPr>
            <w:tcW w:w="1840" w:type="dxa"/>
            <w:tcBorders>
              <w:top w:val="nil"/>
              <w:left w:val="single" w:sz="4" w:space="0" w:color="auto"/>
              <w:bottom w:val="single" w:sz="4" w:space="0" w:color="auto"/>
              <w:right w:val="nil"/>
            </w:tcBorders>
            <w:noWrap/>
            <w:vAlign w:val="center"/>
          </w:tcPr>
          <w:p w:rsidR="00580678" w:rsidRPr="008C347B" w:rsidRDefault="00580678" w:rsidP="00454B9A">
            <w:pPr>
              <w:rPr>
                <w:rFonts w:ascii="Verdana" w:hAnsi="Verdana" w:cs="Arial"/>
                <w:b/>
                <w:bCs/>
                <w:sz w:val="16"/>
                <w:szCs w:val="16"/>
              </w:rPr>
            </w:pPr>
            <w:r w:rsidRPr="008C347B">
              <w:rPr>
                <w:rFonts w:ascii="Verdana" w:hAnsi="Verdana" w:cs="Arial"/>
                <w:b/>
                <w:bCs/>
                <w:sz w:val="16"/>
                <w:szCs w:val="16"/>
              </w:rPr>
              <w:t>Centro-nord</w:t>
            </w:r>
          </w:p>
        </w:tc>
        <w:tc>
          <w:tcPr>
            <w:tcW w:w="960" w:type="dxa"/>
            <w:tcBorders>
              <w:top w:val="nil"/>
              <w:left w:val="single" w:sz="4" w:space="0" w:color="auto"/>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16.428</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b/>
                <w:bCs/>
                <w:sz w:val="16"/>
                <w:szCs w:val="16"/>
              </w:rPr>
            </w:pPr>
            <w:r w:rsidRPr="008C347B">
              <w:rPr>
                <w:rFonts w:ascii="Verdana" w:hAnsi="Verdana" w:cs="Arial"/>
                <w:b/>
                <w:bCs/>
                <w:sz w:val="16"/>
                <w:szCs w:val="16"/>
              </w:rPr>
              <w:t>16.423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16.416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-5</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b/>
                <w:bCs/>
                <w:sz w:val="16"/>
                <w:szCs w:val="16"/>
              </w:rPr>
            </w:pPr>
            <w:r w:rsidRPr="008C347B">
              <w:rPr>
                <w:rFonts w:ascii="Verdana" w:hAnsi="Verdana" w:cs="Arial"/>
                <w:b/>
                <w:bCs/>
                <w:sz w:val="16"/>
                <w:szCs w:val="16"/>
              </w:rPr>
              <w:t>-7</w:t>
            </w:r>
          </w:p>
        </w:tc>
      </w:tr>
      <w:tr w:rsidR="00580678" w:rsidRPr="008C347B" w:rsidTr="00ED0979">
        <w:trPr>
          <w:trHeight w:val="319"/>
          <w:jc w:val="center"/>
        </w:trPr>
        <w:tc>
          <w:tcPr>
            <w:tcW w:w="1840" w:type="dxa"/>
            <w:tcBorders>
              <w:top w:val="nil"/>
              <w:left w:val="single" w:sz="4" w:space="0" w:color="auto"/>
              <w:bottom w:val="single" w:sz="4" w:space="0" w:color="auto"/>
              <w:right w:val="nil"/>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Maschi</w:t>
            </w:r>
          </w:p>
        </w:tc>
        <w:tc>
          <w:tcPr>
            <w:tcW w:w="960" w:type="dxa"/>
            <w:tcBorders>
              <w:top w:val="nil"/>
              <w:left w:val="single" w:sz="4" w:space="0" w:color="auto"/>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9.526</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9.223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9.226</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-303</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3</w:t>
            </w:r>
          </w:p>
        </w:tc>
      </w:tr>
      <w:tr w:rsidR="00580678" w:rsidRPr="008C347B" w:rsidTr="00ED0979">
        <w:trPr>
          <w:trHeight w:val="319"/>
          <w:jc w:val="center"/>
        </w:trPr>
        <w:tc>
          <w:tcPr>
            <w:tcW w:w="1840" w:type="dxa"/>
            <w:tcBorders>
              <w:top w:val="nil"/>
              <w:left w:val="single" w:sz="4" w:space="0" w:color="auto"/>
              <w:bottom w:val="single" w:sz="4" w:space="0" w:color="auto"/>
              <w:right w:val="nil"/>
            </w:tcBorders>
            <w:noWrap/>
            <w:vAlign w:val="center"/>
          </w:tcPr>
          <w:p w:rsidR="00580678" w:rsidRPr="008C347B" w:rsidRDefault="00580678" w:rsidP="008C347B">
            <w:pPr>
              <w:ind w:firstLineChars="100" w:firstLine="160"/>
              <w:rPr>
                <w:rFonts w:ascii="Verdana" w:hAnsi="Verdana" w:cs="Arial"/>
                <w:sz w:val="16"/>
                <w:szCs w:val="16"/>
              </w:rPr>
            </w:pPr>
            <w:r w:rsidRPr="008C347B">
              <w:rPr>
                <w:rFonts w:ascii="Verdana" w:hAnsi="Verdana" w:cs="Arial"/>
                <w:sz w:val="16"/>
                <w:szCs w:val="16"/>
              </w:rPr>
              <w:t>Femmine</w:t>
            </w:r>
          </w:p>
        </w:tc>
        <w:tc>
          <w:tcPr>
            <w:tcW w:w="960" w:type="dxa"/>
            <w:tcBorders>
              <w:top w:val="nil"/>
              <w:left w:val="single" w:sz="4" w:space="0" w:color="auto"/>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6.902</w:t>
            </w:r>
          </w:p>
        </w:tc>
        <w:tc>
          <w:tcPr>
            <w:tcW w:w="960" w:type="dxa"/>
            <w:tcBorders>
              <w:top w:val="nil"/>
              <w:left w:val="nil"/>
              <w:bottom w:val="single" w:sz="4" w:space="0" w:color="auto"/>
              <w:right w:val="single" w:sz="4" w:space="0" w:color="auto"/>
            </w:tcBorders>
            <w:noWrap/>
            <w:vAlign w:val="center"/>
          </w:tcPr>
          <w:p w:rsidR="00580678" w:rsidRPr="008C347B" w:rsidRDefault="00580678" w:rsidP="00454B9A">
            <w:pPr>
              <w:jc w:val="center"/>
              <w:rPr>
                <w:rFonts w:ascii="Verdana" w:hAnsi="Verdana" w:cs="Arial"/>
                <w:sz w:val="16"/>
                <w:szCs w:val="16"/>
              </w:rPr>
            </w:pPr>
            <w:r w:rsidRPr="008C347B">
              <w:rPr>
                <w:rFonts w:ascii="Verdana" w:hAnsi="Verdana" w:cs="Arial"/>
                <w:sz w:val="16"/>
                <w:szCs w:val="16"/>
              </w:rPr>
              <w:t>7.200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7.190</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298</w:t>
            </w:r>
          </w:p>
        </w:tc>
        <w:tc>
          <w:tcPr>
            <w:tcW w:w="960" w:type="dxa"/>
            <w:tcBorders>
              <w:top w:val="nil"/>
              <w:left w:val="nil"/>
              <w:bottom w:val="single" w:sz="4" w:space="0" w:color="auto"/>
              <w:right w:val="single" w:sz="4" w:space="0" w:color="auto"/>
            </w:tcBorders>
            <w:noWrap/>
            <w:vAlign w:val="center"/>
          </w:tcPr>
          <w:p w:rsidR="00580678" w:rsidRPr="008C347B" w:rsidRDefault="00580678">
            <w:pPr>
              <w:jc w:val="center"/>
              <w:rPr>
                <w:rFonts w:ascii="Verdana" w:hAnsi="Verdana" w:cs="Arial"/>
                <w:sz w:val="16"/>
                <w:szCs w:val="16"/>
              </w:rPr>
            </w:pPr>
            <w:r w:rsidRPr="008C347B">
              <w:rPr>
                <w:rFonts w:ascii="Verdana" w:hAnsi="Verdana" w:cs="Arial"/>
                <w:sz w:val="16"/>
                <w:szCs w:val="16"/>
              </w:rPr>
              <w:t>-10</w:t>
            </w:r>
          </w:p>
        </w:tc>
      </w:tr>
    </w:tbl>
    <w:p w:rsidR="00580678" w:rsidRPr="008C347B" w:rsidRDefault="00580678" w:rsidP="00ED0979">
      <w:pPr>
        <w:spacing w:after="200" w:line="360" w:lineRule="auto"/>
        <w:ind w:left="1560"/>
        <w:rPr>
          <w:rFonts w:ascii="Verdana" w:hAnsi="Verdana" w:cs="Arial"/>
          <w:sz w:val="16"/>
          <w:szCs w:val="16"/>
        </w:rPr>
      </w:pPr>
      <w:r w:rsidRPr="008C347B">
        <w:rPr>
          <w:rFonts w:ascii="Verdana" w:hAnsi="Verdana" w:cs="Arial"/>
          <w:sz w:val="16"/>
          <w:szCs w:val="16"/>
        </w:rPr>
        <w:t>Fonte: elaborazioni Ufficio Studi Confcommercio su dati Istat.</w:t>
      </w:r>
    </w:p>
    <w:p w:rsidR="00580678" w:rsidRPr="00ED0979" w:rsidRDefault="00580678" w:rsidP="002E3F55">
      <w:pPr>
        <w:spacing w:line="360" w:lineRule="auto"/>
        <w:ind w:firstLine="708"/>
        <w:jc w:val="both"/>
        <w:rPr>
          <w:rFonts w:ascii="Verdana" w:hAnsi="Verdana" w:cs="Arial"/>
          <w:sz w:val="20"/>
        </w:rPr>
      </w:pPr>
      <w:r w:rsidRPr="00ED0979">
        <w:rPr>
          <w:rFonts w:ascii="Verdana" w:hAnsi="Verdana" w:cs="Arial"/>
          <w:sz w:val="20"/>
        </w:rPr>
        <w:t>Questi movimenti di fondo si rilevano anche nel Mezzogiorno ed in Sicilia, territori in cui le minori opportunità hanno comportato, contrariamente a quanto avvenuto nel Centro-nord, anche una diminuzione della componente femminile dell’occupazione. Fa ben sperare, tuttavia, la piccola ripresa dell’occupazione femminile registrata nella prima parte del 2015, non solo nella media del Sud ma, in particolare, in Sicilia (+15mila unità rispetto a +46mila unità dell’intero Mezzogiorno).</w:t>
      </w:r>
    </w:p>
    <w:sectPr w:rsidR="00580678" w:rsidRPr="00ED0979" w:rsidSect="00DA41FC">
      <w:headerReference w:type="default" r:id="rId9"/>
      <w:footerReference w:type="default" r:id="rId10"/>
      <w:pgSz w:w="11906" w:h="16838" w:code="9"/>
      <w:pgMar w:top="1418" w:right="1134" w:bottom="1134" w:left="1134" w:header="567"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78" w:rsidRDefault="00580678" w:rsidP="00B96E23">
      <w:r>
        <w:separator/>
      </w:r>
    </w:p>
  </w:endnote>
  <w:endnote w:type="continuationSeparator" w:id="0">
    <w:p w:rsidR="00580678" w:rsidRDefault="00580678" w:rsidP="00B9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MS">
    <w:altName w:val="Trebuchet M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78" w:rsidRPr="002B694A" w:rsidRDefault="00580678">
    <w:pPr>
      <w:pStyle w:val="Pidipagina"/>
      <w:jc w:val="right"/>
      <w:rPr>
        <w:rFonts w:ascii="Arial" w:hAnsi="Arial"/>
        <w:sz w:val="20"/>
      </w:rPr>
    </w:pPr>
    <w:r w:rsidRPr="002B694A">
      <w:rPr>
        <w:rFonts w:ascii="Arial" w:hAnsi="Arial"/>
        <w:sz w:val="20"/>
      </w:rPr>
      <w:fldChar w:fldCharType="begin"/>
    </w:r>
    <w:r w:rsidRPr="002B694A">
      <w:rPr>
        <w:rFonts w:ascii="Arial" w:hAnsi="Arial"/>
        <w:sz w:val="20"/>
      </w:rPr>
      <w:instrText>PAGE   \* MERGEFORMAT</w:instrText>
    </w:r>
    <w:r w:rsidRPr="002B694A">
      <w:rPr>
        <w:rFonts w:ascii="Arial" w:hAnsi="Arial"/>
        <w:sz w:val="20"/>
      </w:rPr>
      <w:fldChar w:fldCharType="separate"/>
    </w:r>
    <w:r w:rsidR="0055447E">
      <w:rPr>
        <w:rFonts w:ascii="Arial" w:hAnsi="Arial"/>
        <w:noProof/>
        <w:sz w:val="20"/>
      </w:rPr>
      <w:t>1</w:t>
    </w:r>
    <w:r w:rsidRPr="002B694A">
      <w:rPr>
        <w:rFonts w:ascii="Arial" w:hAnsi="Arial"/>
        <w:sz w:val="20"/>
      </w:rPr>
      <w:fldChar w:fldCharType="end"/>
    </w:r>
  </w:p>
  <w:p w:rsidR="00580678" w:rsidRDefault="005806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78" w:rsidRDefault="00580678" w:rsidP="00B96E23">
      <w:r>
        <w:separator/>
      </w:r>
    </w:p>
  </w:footnote>
  <w:footnote w:type="continuationSeparator" w:id="0">
    <w:p w:rsidR="00580678" w:rsidRDefault="00580678" w:rsidP="00B9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78" w:rsidRPr="00F20B44" w:rsidRDefault="00580678" w:rsidP="00F20B44">
    <w:pPr>
      <w:pStyle w:val="Intestazione"/>
      <w:pBdr>
        <w:bottom w:val="single" w:sz="4" w:space="1" w:color="0033CC"/>
      </w:pBdr>
      <w:jc w:val="right"/>
      <w:rPr>
        <w:rFonts w:ascii="Arial" w:hAnsi="Arial" w:cs="Arial"/>
        <w:color w:val="0033CC"/>
        <w:sz w:val="20"/>
      </w:rPr>
    </w:pPr>
    <w:r>
      <w:rPr>
        <w:rFonts w:ascii="Arial" w:hAnsi="Arial" w:cs="Arial"/>
        <w:color w:val="0033CC"/>
        <w:sz w:val="20"/>
      </w:rPr>
      <w:t xml:space="preserve">Ottobre 2015                                                                                                          </w:t>
    </w:r>
    <w:r w:rsidRPr="00F20B44">
      <w:rPr>
        <w:rFonts w:ascii="Arial" w:hAnsi="Arial" w:cs="Arial"/>
        <w:color w:val="0033CC"/>
        <w:sz w:val="20"/>
      </w:rPr>
      <w:t>Ufficio Studi Confcommercio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2F0"/>
    <w:multiLevelType w:val="hybridMultilevel"/>
    <w:tmpl w:val="EEB649D8"/>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0"/>
    <w:rsid w:val="000506BF"/>
    <w:rsid w:val="00053B78"/>
    <w:rsid w:val="000719DD"/>
    <w:rsid w:val="00077942"/>
    <w:rsid w:val="000844E8"/>
    <w:rsid w:val="000957B7"/>
    <w:rsid w:val="000A1862"/>
    <w:rsid w:val="000A513E"/>
    <w:rsid w:val="000A6EFC"/>
    <w:rsid w:val="000E1630"/>
    <w:rsid w:val="000E3795"/>
    <w:rsid w:val="000E4470"/>
    <w:rsid w:val="000F4FCA"/>
    <w:rsid w:val="00102A77"/>
    <w:rsid w:val="00106672"/>
    <w:rsid w:val="00122D2F"/>
    <w:rsid w:val="00124338"/>
    <w:rsid w:val="001248DA"/>
    <w:rsid w:val="00136B71"/>
    <w:rsid w:val="00181518"/>
    <w:rsid w:val="0019145C"/>
    <w:rsid w:val="001A52E9"/>
    <w:rsid w:val="001B0B99"/>
    <w:rsid w:val="001C3809"/>
    <w:rsid w:val="001E65DA"/>
    <w:rsid w:val="001F1FDE"/>
    <w:rsid w:val="001F7031"/>
    <w:rsid w:val="00200A8D"/>
    <w:rsid w:val="002104F7"/>
    <w:rsid w:val="002351C1"/>
    <w:rsid w:val="002400C4"/>
    <w:rsid w:val="00244358"/>
    <w:rsid w:val="0024496E"/>
    <w:rsid w:val="00247B19"/>
    <w:rsid w:val="00247B95"/>
    <w:rsid w:val="00247C60"/>
    <w:rsid w:val="002567FE"/>
    <w:rsid w:val="00256CF0"/>
    <w:rsid w:val="00260B18"/>
    <w:rsid w:val="00265842"/>
    <w:rsid w:val="00273608"/>
    <w:rsid w:val="00273AF0"/>
    <w:rsid w:val="00280610"/>
    <w:rsid w:val="002861C7"/>
    <w:rsid w:val="002A091A"/>
    <w:rsid w:val="002B11C9"/>
    <w:rsid w:val="002B16F4"/>
    <w:rsid w:val="002B38CD"/>
    <w:rsid w:val="002B694A"/>
    <w:rsid w:val="002D467D"/>
    <w:rsid w:val="002E39BE"/>
    <w:rsid w:val="002E3F55"/>
    <w:rsid w:val="002F12F4"/>
    <w:rsid w:val="003107EA"/>
    <w:rsid w:val="00321829"/>
    <w:rsid w:val="00330BCE"/>
    <w:rsid w:val="00331C3B"/>
    <w:rsid w:val="00342375"/>
    <w:rsid w:val="003439CB"/>
    <w:rsid w:val="00355C9D"/>
    <w:rsid w:val="00361E18"/>
    <w:rsid w:val="00371078"/>
    <w:rsid w:val="00375F68"/>
    <w:rsid w:val="003862FA"/>
    <w:rsid w:val="003A5C7B"/>
    <w:rsid w:val="003C0642"/>
    <w:rsid w:val="003C70EC"/>
    <w:rsid w:val="003F5D66"/>
    <w:rsid w:val="0041010D"/>
    <w:rsid w:val="00413923"/>
    <w:rsid w:val="004240B2"/>
    <w:rsid w:val="00441E9A"/>
    <w:rsid w:val="00454B9A"/>
    <w:rsid w:val="00482163"/>
    <w:rsid w:val="00483BA6"/>
    <w:rsid w:val="00486294"/>
    <w:rsid w:val="004A6F8A"/>
    <w:rsid w:val="004B3615"/>
    <w:rsid w:val="004D2E7D"/>
    <w:rsid w:val="004F0862"/>
    <w:rsid w:val="004F7E14"/>
    <w:rsid w:val="00501F80"/>
    <w:rsid w:val="00502822"/>
    <w:rsid w:val="0055447E"/>
    <w:rsid w:val="005544C3"/>
    <w:rsid w:val="0056551B"/>
    <w:rsid w:val="00565844"/>
    <w:rsid w:val="0057048B"/>
    <w:rsid w:val="00580678"/>
    <w:rsid w:val="005839AA"/>
    <w:rsid w:val="0059254C"/>
    <w:rsid w:val="005A015A"/>
    <w:rsid w:val="005A3472"/>
    <w:rsid w:val="005B4FE7"/>
    <w:rsid w:val="005C6ED8"/>
    <w:rsid w:val="005F0A2D"/>
    <w:rsid w:val="005F33ED"/>
    <w:rsid w:val="005F59F0"/>
    <w:rsid w:val="005F7C2B"/>
    <w:rsid w:val="00606F9D"/>
    <w:rsid w:val="0060774A"/>
    <w:rsid w:val="006101E1"/>
    <w:rsid w:val="00610FE8"/>
    <w:rsid w:val="00625B19"/>
    <w:rsid w:val="00630978"/>
    <w:rsid w:val="00635020"/>
    <w:rsid w:val="006509F6"/>
    <w:rsid w:val="00657030"/>
    <w:rsid w:val="00665941"/>
    <w:rsid w:val="006826A8"/>
    <w:rsid w:val="0068492E"/>
    <w:rsid w:val="00685337"/>
    <w:rsid w:val="00686360"/>
    <w:rsid w:val="00696850"/>
    <w:rsid w:val="00696882"/>
    <w:rsid w:val="006A6E39"/>
    <w:rsid w:val="006B77ED"/>
    <w:rsid w:val="006E3839"/>
    <w:rsid w:val="006F5F9A"/>
    <w:rsid w:val="007010BE"/>
    <w:rsid w:val="00705123"/>
    <w:rsid w:val="0070665C"/>
    <w:rsid w:val="00725E2D"/>
    <w:rsid w:val="00733CDB"/>
    <w:rsid w:val="007561A2"/>
    <w:rsid w:val="00760166"/>
    <w:rsid w:val="00760828"/>
    <w:rsid w:val="00764227"/>
    <w:rsid w:val="007776F2"/>
    <w:rsid w:val="00781170"/>
    <w:rsid w:val="007854A3"/>
    <w:rsid w:val="007A46E1"/>
    <w:rsid w:val="007C1538"/>
    <w:rsid w:val="007C4F53"/>
    <w:rsid w:val="007E2671"/>
    <w:rsid w:val="007F5D5A"/>
    <w:rsid w:val="007F71AE"/>
    <w:rsid w:val="00807907"/>
    <w:rsid w:val="00816688"/>
    <w:rsid w:val="00817639"/>
    <w:rsid w:val="00817F08"/>
    <w:rsid w:val="00823E0F"/>
    <w:rsid w:val="00825DAB"/>
    <w:rsid w:val="00831117"/>
    <w:rsid w:val="0084598A"/>
    <w:rsid w:val="00875BE0"/>
    <w:rsid w:val="0088128A"/>
    <w:rsid w:val="00894154"/>
    <w:rsid w:val="0089715F"/>
    <w:rsid w:val="008A640E"/>
    <w:rsid w:val="008C13FF"/>
    <w:rsid w:val="008C347B"/>
    <w:rsid w:val="008C71C0"/>
    <w:rsid w:val="008D5140"/>
    <w:rsid w:val="008E32F0"/>
    <w:rsid w:val="008E4F0B"/>
    <w:rsid w:val="008F3932"/>
    <w:rsid w:val="00901481"/>
    <w:rsid w:val="00912BDE"/>
    <w:rsid w:val="00914FE7"/>
    <w:rsid w:val="009204E0"/>
    <w:rsid w:val="00920C88"/>
    <w:rsid w:val="00926504"/>
    <w:rsid w:val="0094354A"/>
    <w:rsid w:val="00945AAE"/>
    <w:rsid w:val="00955683"/>
    <w:rsid w:val="00984A1C"/>
    <w:rsid w:val="009B2F2B"/>
    <w:rsid w:val="009B5CAB"/>
    <w:rsid w:val="009C0B9C"/>
    <w:rsid w:val="009D3294"/>
    <w:rsid w:val="009F32DA"/>
    <w:rsid w:val="009F7D62"/>
    <w:rsid w:val="00A02C86"/>
    <w:rsid w:val="00A053D0"/>
    <w:rsid w:val="00A16907"/>
    <w:rsid w:val="00A16AE2"/>
    <w:rsid w:val="00A2131F"/>
    <w:rsid w:val="00A23ED9"/>
    <w:rsid w:val="00A30C7C"/>
    <w:rsid w:val="00A35AF3"/>
    <w:rsid w:val="00A368FE"/>
    <w:rsid w:val="00A464B0"/>
    <w:rsid w:val="00A54AAE"/>
    <w:rsid w:val="00A57FED"/>
    <w:rsid w:val="00A608A2"/>
    <w:rsid w:val="00A61E8E"/>
    <w:rsid w:val="00A627E8"/>
    <w:rsid w:val="00A87EC8"/>
    <w:rsid w:val="00A91626"/>
    <w:rsid w:val="00A962EE"/>
    <w:rsid w:val="00AA4E60"/>
    <w:rsid w:val="00AA6307"/>
    <w:rsid w:val="00AB3CF9"/>
    <w:rsid w:val="00AB50B0"/>
    <w:rsid w:val="00AB7B86"/>
    <w:rsid w:val="00AC75E7"/>
    <w:rsid w:val="00AE3118"/>
    <w:rsid w:val="00AE693C"/>
    <w:rsid w:val="00AF0615"/>
    <w:rsid w:val="00B0227E"/>
    <w:rsid w:val="00B43A16"/>
    <w:rsid w:val="00B44BDF"/>
    <w:rsid w:val="00B46A3E"/>
    <w:rsid w:val="00B64A72"/>
    <w:rsid w:val="00B9475E"/>
    <w:rsid w:val="00B96E23"/>
    <w:rsid w:val="00BA05E5"/>
    <w:rsid w:val="00BE18B3"/>
    <w:rsid w:val="00BE7AA5"/>
    <w:rsid w:val="00BF4E16"/>
    <w:rsid w:val="00BF7F08"/>
    <w:rsid w:val="00C35B8B"/>
    <w:rsid w:val="00C517B4"/>
    <w:rsid w:val="00C60A4C"/>
    <w:rsid w:val="00C60BA7"/>
    <w:rsid w:val="00C7564B"/>
    <w:rsid w:val="00C92EB9"/>
    <w:rsid w:val="00CC7D1A"/>
    <w:rsid w:val="00CD653D"/>
    <w:rsid w:val="00CE107C"/>
    <w:rsid w:val="00CE6040"/>
    <w:rsid w:val="00CE7C0A"/>
    <w:rsid w:val="00CF23A4"/>
    <w:rsid w:val="00CF785F"/>
    <w:rsid w:val="00D0100D"/>
    <w:rsid w:val="00D04AF2"/>
    <w:rsid w:val="00D1245C"/>
    <w:rsid w:val="00D4221B"/>
    <w:rsid w:val="00D56A0A"/>
    <w:rsid w:val="00D65760"/>
    <w:rsid w:val="00D679EC"/>
    <w:rsid w:val="00D87FD5"/>
    <w:rsid w:val="00D94645"/>
    <w:rsid w:val="00DA0B45"/>
    <w:rsid w:val="00DA0EE0"/>
    <w:rsid w:val="00DA41FC"/>
    <w:rsid w:val="00DB4D1A"/>
    <w:rsid w:val="00DC12C9"/>
    <w:rsid w:val="00DC34E9"/>
    <w:rsid w:val="00DC3AE3"/>
    <w:rsid w:val="00DD1BEE"/>
    <w:rsid w:val="00DF4EFB"/>
    <w:rsid w:val="00DF76C9"/>
    <w:rsid w:val="00E200EC"/>
    <w:rsid w:val="00E273CB"/>
    <w:rsid w:val="00E41501"/>
    <w:rsid w:val="00E70DEF"/>
    <w:rsid w:val="00E7161E"/>
    <w:rsid w:val="00E75CE9"/>
    <w:rsid w:val="00E825C9"/>
    <w:rsid w:val="00E83217"/>
    <w:rsid w:val="00E83CE8"/>
    <w:rsid w:val="00E86281"/>
    <w:rsid w:val="00E94137"/>
    <w:rsid w:val="00E959C5"/>
    <w:rsid w:val="00EC1AE2"/>
    <w:rsid w:val="00EC42E7"/>
    <w:rsid w:val="00EC5FD6"/>
    <w:rsid w:val="00ED0979"/>
    <w:rsid w:val="00ED396A"/>
    <w:rsid w:val="00ED6FB6"/>
    <w:rsid w:val="00EF124F"/>
    <w:rsid w:val="00EF155D"/>
    <w:rsid w:val="00F0436F"/>
    <w:rsid w:val="00F10317"/>
    <w:rsid w:val="00F20B44"/>
    <w:rsid w:val="00F25431"/>
    <w:rsid w:val="00F3289A"/>
    <w:rsid w:val="00F4122B"/>
    <w:rsid w:val="00F454FF"/>
    <w:rsid w:val="00F46118"/>
    <w:rsid w:val="00F53F6A"/>
    <w:rsid w:val="00F552A4"/>
    <w:rsid w:val="00F55824"/>
    <w:rsid w:val="00F81614"/>
    <w:rsid w:val="00F974E3"/>
    <w:rsid w:val="00FE7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170"/>
    <w:rPr>
      <w:rFonts w:ascii="Geneva" w:hAnsi="Geneva"/>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rsid w:val="00781170"/>
    <w:pPr>
      <w:jc w:val="center"/>
    </w:pPr>
    <w:rPr>
      <w:b/>
      <w:bCs/>
      <w:szCs w:val="28"/>
    </w:rPr>
  </w:style>
  <w:style w:type="character" w:customStyle="1" w:styleId="Corpodeltesto2Carattere">
    <w:name w:val="Corpo del testo 2 Carattere"/>
    <w:basedOn w:val="Carpredefinitoparagrafo"/>
    <w:link w:val="Corpodeltesto2"/>
    <w:uiPriority w:val="99"/>
    <w:semiHidden/>
    <w:locked/>
    <w:rsid w:val="00781170"/>
    <w:rPr>
      <w:rFonts w:ascii="Geneva" w:hAnsi="Geneva" w:cs="Times New Roman"/>
      <w:b/>
      <w:bCs/>
      <w:sz w:val="28"/>
      <w:szCs w:val="28"/>
      <w:lang w:eastAsia="it-IT"/>
    </w:rPr>
  </w:style>
  <w:style w:type="paragraph" w:styleId="Corpotesto">
    <w:name w:val="Body Text"/>
    <w:basedOn w:val="Normale"/>
    <w:link w:val="CorpotestoCarattere"/>
    <w:uiPriority w:val="99"/>
    <w:semiHidden/>
    <w:rsid w:val="00781170"/>
    <w:pPr>
      <w:spacing w:after="120"/>
    </w:pPr>
  </w:style>
  <w:style w:type="character" w:customStyle="1" w:styleId="CorpotestoCarattere">
    <w:name w:val="Corpo testo Carattere"/>
    <w:basedOn w:val="Carpredefinitoparagrafo"/>
    <w:link w:val="Corpotesto"/>
    <w:uiPriority w:val="99"/>
    <w:semiHidden/>
    <w:locked/>
    <w:rsid w:val="00781170"/>
    <w:rPr>
      <w:rFonts w:ascii="Geneva" w:hAnsi="Geneva" w:cs="Times New Roman"/>
      <w:sz w:val="20"/>
      <w:szCs w:val="20"/>
      <w:lang w:eastAsia="it-IT"/>
    </w:rPr>
  </w:style>
  <w:style w:type="paragraph" w:styleId="Testofumetto">
    <w:name w:val="Balloon Text"/>
    <w:basedOn w:val="Normale"/>
    <w:link w:val="TestofumettoCarattere"/>
    <w:uiPriority w:val="99"/>
    <w:semiHidden/>
    <w:rsid w:val="00781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1170"/>
    <w:rPr>
      <w:rFonts w:ascii="Tahoma" w:hAnsi="Tahoma" w:cs="Tahoma"/>
      <w:sz w:val="16"/>
      <w:szCs w:val="16"/>
      <w:lang w:eastAsia="it-IT"/>
    </w:rPr>
  </w:style>
  <w:style w:type="paragraph" w:customStyle="1" w:styleId="StileRapporto">
    <w:name w:val="StileRapporto"/>
    <w:basedOn w:val="Normale"/>
    <w:uiPriority w:val="99"/>
    <w:rsid w:val="00823E0F"/>
    <w:pPr>
      <w:spacing w:line="360" w:lineRule="auto"/>
      <w:jc w:val="both"/>
    </w:pPr>
    <w:rPr>
      <w:rFonts w:ascii="Verdana" w:eastAsia="Times New Roman" w:hAnsi="Verdana"/>
      <w:sz w:val="20"/>
    </w:rPr>
  </w:style>
  <w:style w:type="paragraph" w:styleId="Rientrocorpodeltesto2">
    <w:name w:val="Body Text Indent 2"/>
    <w:basedOn w:val="Normale"/>
    <w:link w:val="Rientrocorpodeltesto2Carattere"/>
    <w:uiPriority w:val="99"/>
    <w:rsid w:val="00C35B8B"/>
    <w:pPr>
      <w:spacing w:after="120" w:line="480" w:lineRule="auto"/>
      <w:ind w:left="283"/>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uiPriority w:val="99"/>
    <w:locked/>
    <w:rsid w:val="00C35B8B"/>
    <w:rPr>
      <w:rFonts w:ascii="Times New Roman" w:hAnsi="Times New Roman" w:cs="Times New Roman"/>
      <w:sz w:val="24"/>
      <w:szCs w:val="24"/>
      <w:lang w:eastAsia="it-IT"/>
    </w:rPr>
  </w:style>
  <w:style w:type="paragraph" w:styleId="Intestazione">
    <w:name w:val="header"/>
    <w:basedOn w:val="Normale"/>
    <w:link w:val="IntestazioneCarattere"/>
    <w:uiPriority w:val="99"/>
    <w:rsid w:val="00B96E23"/>
    <w:pPr>
      <w:tabs>
        <w:tab w:val="center" w:pos="4819"/>
        <w:tab w:val="right" w:pos="9638"/>
      </w:tabs>
    </w:pPr>
  </w:style>
  <w:style w:type="character" w:customStyle="1" w:styleId="IntestazioneCarattere">
    <w:name w:val="Intestazione Carattere"/>
    <w:basedOn w:val="Carpredefinitoparagrafo"/>
    <w:link w:val="Intestazione"/>
    <w:uiPriority w:val="99"/>
    <w:locked/>
    <w:rsid w:val="00B96E23"/>
    <w:rPr>
      <w:rFonts w:ascii="Geneva" w:hAnsi="Geneva" w:cs="Times New Roman"/>
      <w:sz w:val="20"/>
      <w:szCs w:val="20"/>
      <w:lang w:eastAsia="it-IT"/>
    </w:rPr>
  </w:style>
  <w:style w:type="paragraph" w:styleId="Pidipagina">
    <w:name w:val="footer"/>
    <w:basedOn w:val="Normale"/>
    <w:link w:val="PidipaginaCarattere"/>
    <w:uiPriority w:val="99"/>
    <w:rsid w:val="00B96E23"/>
    <w:pPr>
      <w:tabs>
        <w:tab w:val="center" w:pos="4819"/>
        <w:tab w:val="right" w:pos="9638"/>
      </w:tabs>
    </w:pPr>
  </w:style>
  <w:style w:type="character" w:customStyle="1" w:styleId="PidipaginaCarattere">
    <w:name w:val="Piè di pagina Carattere"/>
    <w:basedOn w:val="Carpredefinitoparagrafo"/>
    <w:link w:val="Pidipagina"/>
    <w:uiPriority w:val="99"/>
    <w:locked/>
    <w:rsid w:val="00B96E23"/>
    <w:rPr>
      <w:rFonts w:ascii="Geneva" w:hAnsi="Geneva" w:cs="Times New Roman"/>
      <w:sz w:val="20"/>
      <w:szCs w:val="20"/>
      <w:lang w:eastAsia="it-IT"/>
    </w:rPr>
  </w:style>
  <w:style w:type="paragraph" w:styleId="Titolo">
    <w:name w:val="Title"/>
    <w:basedOn w:val="Normale"/>
    <w:next w:val="Normale"/>
    <w:link w:val="TitoloCarattere"/>
    <w:uiPriority w:val="99"/>
    <w:qFormat/>
    <w:rsid w:val="00265842"/>
    <w:pPr>
      <w:widowControl w:val="0"/>
      <w:pBdr>
        <w:bottom w:val="single" w:sz="8" w:space="4" w:color="808080"/>
      </w:pBdr>
      <w:suppressAutoHyphens/>
      <w:spacing w:after="300" w:line="200" w:lineRule="atLeast"/>
    </w:pPr>
    <w:rPr>
      <w:rFonts w:ascii="Cambria" w:eastAsia="MS Mincho" w:hAnsi="Cambria" w:cs="Cambria"/>
      <w:spacing w:val="5"/>
      <w:kern w:val="1"/>
      <w:sz w:val="52"/>
      <w:szCs w:val="52"/>
      <w:lang w:eastAsia="ar-SA"/>
    </w:rPr>
  </w:style>
  <w:style w:type="character" w:customStyle="1" w:styleId="TitoloCarattere">
    <w:name w:val="Titolo Carattere"/>
    <w:basedOn w:val="Carpredefinitoparagrafo"/>
    <w:link w:val="Titolo"/>
    <w:uiPriority w:val="99"/>
    <w:locked/>
    <w:rsid w:val="00265842"/>
    <w:rPr>
      <w:rFonts w:ascii="Cambria" w:eastAsia="MS Mincho" w:hAnsi="Cambria" w:cs="Cambria"/>
      <w:spacing w:val="5"/>
      <w:kern w:val="1"/>
      <w:sz w:val="52"/>
      <w:szCs w:val="52"/>
      <w:lang w:eastAsia="ar-SA" w:bidi="ar-SA"/>
    </w:rPr>
  </w:style>
  <w:style w:type="paragraph" w:styleId="Paragrafoelenco">
    <w:name w:val="List Paragraph"/>
    <w:basedOn w:val="Normale"/>
    <w:uiPriority w:val="99"/>
    <w:qFormat/>
    <w:rsid w:val="008C13FF"/>
    <w:pPr>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semiHidden/>
    <w:rsid w:val="00A464B0"/>
    <w:rPr>
      <w:rFonts w:ascii="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A464B0"/>
    <w:rPr>
      <w:rFonts w:cs="Times New Roman"/>
      <w:sz w:val="20"/>
      <w:szCs w:val="20"/>
    </w:rPr>
  </w:style>
  <w:style w:type="character" w:styleId="Rimandonotaapidipagina">
    <w:name w:val="footnote reference"/>
    <w:basedOn w:val="Carpredefinitoparagrafo"/>
    <w:uiPriority w:val="99"/>
    <w:semiHidden/>
    <w:rsid w:val="00A464B0"/>
    <w:rPr>
      <w:rFonts w:cs="Times New Roman"/>
      <w:vertAlign w:val="superscript"/>
    </w:rPr>
  </w:style>
  <w:style w:type="paragraph" w:customStyle="1" w:styleId="xl29">
    <w:name w:val="xl29"/>
    <w:basedOn w:val="Normale"/>
    <w:uiPriority w:val="99"/>
    <w:rsid w:val="00B9475E"/>
    <w:pPr>
      <w:spacing w:before="100" w:beforeAutospacing="1" w:after="100" w:afterAutospacing="1"/>
    </w:pPr>
    <w:rPr>
      <w:rFonts w:ascii="Verdana" w:eastAsia="Arial Unicode MS" w:hAnsi="Verdana" w:cs="Arial Unicode MS"/>
      <w:sz w:val="24"/>
      <w:szCs w:val="24"/>
    </w:rPr>
  </w:style>
  <w:style w:type="paragraph" w:styleId="Data">
    <w:name w:val="Date"/>
    <w:basedOn w:val="Normale"/>
    <w:next w:val="Normale"/>
    <w:link w:val="DataCarattere"/>
    <w:uiPriority w:val="99"/>
    <w:rsid w:val="00CE7C0A"/>
  </w:style>
  <w:style w:type="character" w:customStyle="1" w:styleId="DataCarattere">
    <w:name w:val="Data Carattere"/>
    <w:basedOn w:val="Carpredefinitoparagrafo"/>
    <w:link w:val="Data"/>
    <w:uiPriority w:val="99"/>
    <w:semiHidden/>
    <w:locked/>
    <w:rsid w:val="00894154"/>
    <w:rPr>
      <w:rFonts w:ascii="Geneva" w:hAnsi="Geneva" w:cs="Times New Roman"/>
      <w:sz w:val="20"/>
      <w:szCs w:val="20"/>
    </w:rPr>
  </w:style>
  <w:style w:type="character" w:styleId="Collegamentoipertestuale">
    <w:name w:val="Hyperlink"/>
    <w:basedOn w:val="Carpredefinitoparagrafo"/>
    <w:uiPriority w:val="99"/>
    <w:rsid w:val="00B64A72"/>
    <w:rPr>
      <w:rFonts w:cs="Times New Roman"/>
      <w:color w:val="0000FF"/>
      <w:u w:val="single"/>
    </w:rPr>
  </w:style>
  <w:style w:type="character" w:styleId="Enfasigrassetto">
    <w:name w:val="Strong"/>
    <w:basedOn w:val="Carpredefinitoparagrafo"/>
    <w:uiPriority w:val="99"/>
    <w:qFormat/>
    <w:locked/>
    <w:rsid w:val="002B11C9"/>
    <w:rPr>
      <w:rFonts w:cs="Times New Roman"/>
      <w:b/>
      <w:bCs/>
    </w:rPr>
  </w:style>
  <w:style w:type="paragraph" w:customStyle="1" w:styleId="0Testo">
    <w:name w:val="0. Testo"/>
    <w:basedOn w:val="Normale"/>
    <w:uiPriority w:val="99"/>
    <w:rsid w:val="00D65760"/>
    <w:pPr>
      <w:widowControl w:val="0"/>
      <w:autoSpaceDE w:val="0"/>
      <w:autoSpaceDN w:val="0"/>
      <w:adjustRightInd w:val="0"/>
      <w:spacing w:line="288" w:lineRule="auto"/>
      <w:ind w:firstLine="567"/>
      <w:jc w:val="both"/>
      <w:textAlignment w:val="center"/>
    </w:pPr>
    <w:rPr>
      <w:rFonts w:ascii="TrebuchetMS" w:eastAsia="Times New Roman" w:hAnsi="TrebuchetMS" w:cs="TrebuchetMS"/>
      <w:color w:val="000000"/>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170"/>
    <w:rPr>
      <w:rFonts w:ascii="Geneva" w:hAnsi="Geneva"/>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rsid w:val="00781170"/>
    <w:pPr>
      <w:jc w:val="center"/>
    </w:pPr>
    <w:rPr>
      <w:b/>
      <w:bCs/>
      <w:szCs w:val="28"/>
    </w:rPr>
  </w:style>
  <w:style w:type="character" w:customStyle="1" w:styleId="Corpodeltesto2Carattere">
    <w:name w:val="Corpo del testo 2 Carattere"/>
    <w:basedOn w:val="Carpredefinitoparagrafo"/>
    <w:link w:val="Corpodeltesto2"/>
    <w:uiPriority w:val="99"/>
    <w:semiHidden/>
    <w:locked/>
    <w:rsid w:val="00781170"/>
    <w:rPr>
      <w:rFonts w:ascii="Geneva" w:hAnsi="Geneva" w:cs="Times New Roman"/>
      <w:b/>
      <w:bCs/>
      <w:sz w:val="28"/>
      <w:szCs w:val="28"/>
      <w:lang w:eastAsia="it-IT"/>
    </w:rPr>
  </w:style>
  <w:style w:type="paragraph" w:styleId="Corpotesto">
    <w:name w:val="Body Text"/>
    <w:basedOn w:val="Normale"/>
    <w:link w:val="CorpotestoCarattere"/>
    <w:uiPriority w:val="99"/>
    <w:semiHidden/>
    <w:rsid w:val="00781170"/>
    <w:pPr>
      <w:spacing w:after="120"/>
    </w:pPr>
  </w:style>
  <w:style w:type="character" w:customStyle="1" w:styleId="CorpotestoCarattere">
    <w:name w:val="Corpo testo Carattere"/>
    <w:basedOn w:val="Carpredefinitoparagrafo"/>
    <w:link w:val="Corpotesto"/>
    <w:uiPriority w:val="99"/>
    <w:semiHidden/>
    <w:locked/>
    <w:rsid w:val="00781170"/>
    <w:rPr>
      <w:rFonts w:ascii="Geneva" w:hAnsi="Geneva" w:cs="Times New Roman"/>
      <w:sz w:val="20"/>
      <w:szCs w:val="20"/>
      <w:lang w:eastAsia="it-IT"/>
    </w:rPr>
  </w:style>
  <w:style w:type="paragraph" w:styleId="Testofumetto">
    <w:name w:val="Balloon Text"/>
    <w:basedOn w:val="Normale"/>
    <w:link w:val="TestofumettoCarattere"/>
    <w:uiPriority w:val="99"/>
    <w:semiHidden/>
    <w:rsid w:val="007811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81170"/>
    <w:rPr>
      <w:rFonts w:ascii="Tahoma" w:hAnsi="Tahoma" w:cs="Tahoma"/>
      <w:sz w:val="16"/>
      <w:szCs w:val="16"/>
      <w:lang w:eastAsia="it-IT"/>
    </w:rPr>
  </w:style>
  <w:style w:type="paragraph" w:customStyle="1" w:styleId="StileRapporto">
    <w:name w:val="StileRapporto"/>
    <w:basedOn w:val="Normale"/>
    <w:uiPriority w:val="99"/>
    <w:rsid w:val="00823E0F"/>
    <w:pPr>
      <w:spacing w:line="360" w:lineRule="auto"/>
      <w:jc w:val="both"/>
    </w:pPr>
    <w:rPr>
      <w:rFonts w:ascii="Verdana" w:eastAsia="Times New Roman" w:hAnsi="Verdana"/>
      <w:sz w:val="20"/>
    </w:rPr>
  </w:style>
  <w:style w:type="paragraph" w:styleId="Rientrocorpodeltesto2">
    <w:name w:val="Body Text Indent 2"/>
    <w:basedOn w:val="Normale"/>
    <w:link w:val="Rientrocorpodeltesto2Carattere"/>
    <w:uiPriority w:val="99"/>
    <w:rsid w:val="00C35B8B"/>
    <w:pPr>
      <w:spacing w:after="120" w:line="480" w:lineRule="auto"/>
      <w:ind w:left="283"/>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uiPriority w:val="99"/>
    <w:locked/>
    <w:rsid w:val="00C35B8B"/>
    <w:rPr>
      <w:rFonts w:ascii="Times New Roman" w:hAnsi="Times New Roman" w:cs="Times New Roman"/>
      <w:sz w:val="24"/>
      <w:szCs w:val="24"/>
      <w:lang w:eastAsia="it-IT"/>
    </w:rPr>
  </w:style>
  <w:style w:type="paragraph" w:styleId="Intestazione">
    <w:name w:val="header"/>
    <w:basedOn w:val="Normale"/>
    <w:link w:val="IntestazioneCarattere"/>
    <w:uiPriority w:val="99"/>
    <w:rsid w:val="00B96E23"/>
    <w:pPr>
      <w:tabs>
        <w:tab w:val="center" w:pos="4819"/>
        <w:tab w:val="right" w:pos="9638"/>
      </w:tabs>
    </w:pPr>
  </w:style>
  <w:style w:type="character" w:customStyle="1" w:styleId="IntestazioneCarattere">
    <w:name w:val="Intestazione Carattere"/>
    <w:basedOn w:val="Carpredefinitoparagrafo"/>
    <w:link w:val="Intestazione"/>
    <w:uiPriority w:val="99"/>
    <w:locked/>
    <w:rsid w:val="00B96E23"/>
    <w:rPr>
      <w:rFonts w:ascii="Geneva" w:hAnsi="Geneva" w:cs="Times New Roman"/>
      <w:sz w:val="20"/>
      <w:szCs w:val="20"/>
      <w:lang w:eastAsia="it-IT"/>
    </w:rPr>
  </w:style>
  <w:style w:type="paragraph" w:styleId="Pidipagina">
    <w:name w:val="footer"/>
    <w:basedOn w:val="Normale"/>
    <w:link w:val="PidipaginaCarattere"/>
    <w:uiPriority w:val="99"/>
    <w:rsid w:val="00B96E23"/>
    <w:pPr>
      <w:tabs>
        <w:tab w:val="center" w:pos="4819"/>
        <w:tab w:val="right" w:pos="9638"/>
      </w:tabs>
    </w:pPr>
  </w:style>
  <w:style w:type="character" w:customStyle="1" w:styleId="PidipaginaCarattere">
    <w:name w:val="Piè di pagina Carattere"/>
    <w:basedOn w:val="Carpredefinitoparagrafo"/>
    <w:link w:val="Pidipagina"/>
    <w:uiPriority w:val="99"/>
    <w:locked/>
    <w:rsid w:val="00B96E23"/>
    <w:rPr>
      <w:rFonts w:ascii="Geneva" w:hAnsi="Geneva" w:cs="Times New Roman"/>
      <w:sz w:val="20"/>
      <w:szCs w:val="20"/>
      <w:lang w:eastAsia="it-IT"/>
    </w:rPr>
  </w:style>
  <w:style w:type="paragraph" w:styleId="Titolo">
    <w:name w:val="Title"/>
    <w:basedOn w:val="Normale"/>
    <w:next w:val="Normale"/>
    <w:link w:val="TitoloCarattere"/>
    <w:uiPriority w:val="99"/>
    <w:qFormat/>
    <w:rsid w:val="00265842"/>
    <w:pPr>
      <w:widowControl w:val="0"/>
      <w:pBdr>
        <w:bottom w:val="single" w:sz="8" w:space="4" w:color="808080"/>
      </w:pBdr>
      <w:suppressAutoHyphens/>
      <w:spacing w:after="300" w:line="200" w:lineRule="atLeast"/>
    </w:pPr>
    <w:rPr>
      <w:rFonts w:ascii="Cambria" w:eastAsia="MS Mincho" w:hAnsi="Cambria" w:cs="Cambria"/>
      <w:spacing w:val="5"/>
      <w:kern w:val="1"/>
      <w:sz w:val="52"/>
      <w:szCs w:val="52"/>
      <w:lang w:eastAsia="ar-SA"/>
    </w:rPr>
  </w:style>
  <w:style w:type="character" w:customStyle="1" w:styleId="TitoloCarattere">
    <w:name w:val="Titolo Carattere"/>
    <w:basedOn w:val="Carpredefinitoparagrafo"/>
    <w:link w:val="Titolo"/>
    <w:uiPriority w:val="99"/>
    <w:locked/>
    <w:rsid w:val="00265842"/>
    <w:rPr>
      <w:rFonts w:ascii="Cambria" w:eastAsia="MS Mincho" w:hAnsi="Cambria" w:cs="Cambria"/>
      <w:spacing w:val="5"/>
      <w:kern w:val="1"/>
      <w:sz w:val="52"/>
      <w:szCs w:val="52"/>
      <w:lang w:eastAsia="ar-SA" w:bidi="ar-SA"/>
    </w:rPr>
  </w:style>
  <w:style w:type="paragraph" w:styleId="Paragrafoelenco">
    <w:name w:val="List Paragraph"/>
    <w:basedOn w:val="Normale"/>
    <w:uiPriority w:val="99"/>
    <w:qFormat/>
    <w:rsid w:val="008C13FF"/>
    <w:pPr>
      <w:spacing w:after="200" w:line="276" w:lineRule="auto"/>
      <w:ind w:left="720"/>
      <w:contextualSpacing/>
    </w:pPr>
    <w:rPr>
      <w:rFonts w:ascii="Calibri" w:hAnsi="Calibri"/>
      <w:sz w:val="22"/>
      <w:szCs w:val="22"/>
      <w:lang w:eastAsia="en-US"/>
    </w:rPr>
  </w:style>
  <w:style w:type="paragraph" w:styleId="Testonotaapidipagina">
    <w:name w:val="footnote text"/>
    <w:basedOn w:val="Normale"/>
    <w:link w:val="TestonotaapidipaginaCarattere"/>
    <w:uiPriority w:val="99"/>
    <w:semiHidden/>
    <w:rsid w:val="00A464B0"/>
    <w:rPr>
      <w:rFonts w:ascii="Calibri" w:hAnsi="Calibri"/>
      <w:sz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A464B0"/>
    <w:rPr>
      <w:rFonts w:cs="Times New Roman"/>
      <w:sz w:val="20"/>
      <w:szCs w:val="20"/>
    </w:rPr>
  </w:style>
  <w:style w:type="character" w:styleId="Rimandonotaapidipagina">
    <w:name w:val="footnote reference"/>
    <w:basedOn w:val="Carpredefinitoparagrafo"/>
    <w:uiPriority w:val="99"/>
    <w:semiHidden/>
    <w:rsid w:val="00A464B0"/>
    <w:rPr>
      <w:rFonts w:cs="Times New Roman"/>
      <w:vertAlign w:val="superscript"/>
    </w:rPr>
  </w:style>
  <w:style w:type="paragraph" w:customStyle="1" w:styleId="xl29">
    <w:name w:val="xl29"/>
    <w:basedOn w:val="Normale"/>
    <w:uiPriority w:val="99"/>
    <w:rsid w:val="00B9475E"/>
    <w:pPr>
      <w:spacing w:before="100" w:beforeAutospacing="1" w:after="100" w:afterAutospacing="1"/>
    </w:pPr>
    <w:rPr>
      <w:rFonts w:ascii="Verdana" w:eastAsia="Arial Unicode MS" w:hAnsi="Verdana" w:cs="Arial Unicode MS"/>
      <w:sz w:val="24"/>
      <w:szCs w:val="24"/>
    </w:rPr>
  </w:style>
  <w:style w:type="paragraph" w:styleId="Data">
    <w:name w:val="Date"/>
    <w:basedOn w:val="Normale"/>
    <w:next w:val="Normale"/>
    <w:link w:val="DataCarattere"/>
    <w:uiPriority w:val="99"/>
    <w:rsid w:val="00CE7C0A"/>
  </w:style>
  <w:style w:type="character" w:customStyle="1" w:styleId="DataCarattere">
    <w:name w:val="Data Carattere"/>
    <w:basedOn w:val="Carpredefinitoparagrafo"/>
    <w:link w:val="Data"/>
    <w:uiPriority w:val="99"/>
    <w:semiHidden/>
    <w:locked/>
    <w:rsid w:val="00894154"/>
    <w:rPr>
      <w:rFonts w:ascii="Geneva" w:hAnsi="Geneva" w:cs="Times New Roman"/>
      <w:sz w:val="20"/>
      <w:szCs w:val="20"/>
    </w:rPr>
  </w:style>
  <w:style w:type="character" w:styleId="Collegamentoipertestuale">
    <w:name w:val="Hyperlink"/>
    <w:basedOn w:val="Carpredefinitoparagrafo"/>
    <w:uiPriority w:val="99"/>
    <w:rsid w:val="00B64A72"/>
    <w:rPr>
      <w:rFonts w:cs="Times New Roman"/>
      <w:color w:val="0000FF"/>
      <w:u w:val="single"/>
    </w:rPr>
  </w:style>
  <w:style w:type="character" w:styleId="Enfasigrassetto">
    <w:name w:val="Strong"/>
    <w:basedOn w:val="Carpredefinitoparagrafo"/>
    <w:uiPriority w:val="99"/>
    <w:qFormat/>
    <w:locked/>
    <w:rsid w:val="002B11C9"/>
    <w:rPr>
      <w:rFonts w:cs="Times New Roman"/>
      <w:b/>
      <w:bCs/>
    </w:rPr>
  </w:style>
  <w:style w:type="paragraph" w:customStyle="1" w:styleId="0Testo">
    <w:name w:val="0. Testo"/>
    <w:basedOn w:val="Normale"/>
    <w:uiPriority w:val="99"/>
    <w:rsid w:val="00D65760"/>
    <w:pPr>
      <w:widowControl w:val="0"/>
      <w:autoSpaceDE w:val="0"/>
      <w:autoSpaceDN w:val="0"/>
      <w:adjustRightInd w:val="0"/>
      <w:spacing w:line="288" w:lineRule="auto"/>
      <w:ind w:firstLine="567"/>
      <w:jc w:val="both"/>
      <w:textAlignment w:val="center"/>
    </w:pPr>
    <w:rPr>
      <w:rFonts w:ascii="TrebuchetMS" w:eastAsia="Times New Roman" w:hAnsi="TrebuchetMS" w:cs="TrebuchetMS"/>
      <w:color w:val="00000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1827">
      <w:marLeft w:val="0"/>
      <w:marRight w:val="0"/>
      <w:marTop w:val="0"/>
      <w:marBottom w:val="0"/>
      <w:divBdr>
        <w:top w:val="none" w:sz="0" w:space="0" w:color="auto"/>
        <w:left w:val="none" w:sz="0" w:space="0" w:color="auto"/>
        <w:bottom w:val="none" w:sz="0" w:space="0" w:color="auto"/>
        <w:right w:val="none" w:sz="0" w:space="0" w:color="auto"/>
      </w:divBdr>
    </w:div>
    <w:div w:id="537661828">
      <w:marLeft w:val="0"/>
      <w:marRight w:val="0"/>
      <w:marTop w:val="0"/>
      <w:marBottom w:val="0"/>
      <w:divBdr>
        <w:top w:val="none" w:sz="0" w:space="0" w:color="auto"/>
        <w:left w:val="none" w:sz="0" w:space="0" w:color="auto"/>
        <w:bottom w:val="none" w:sz="0" w:space="0" w:color="auto"/>
        <w:right w:val="none" w:sz="0" w:space="0" w:color="auto"/>
      </w:divBdr>
    </w:div>
    <w:div w:id="537661829">
      <w:marLeft w:val="0"/>
      <w:marRight w:val="0"/>
      <w:marTop w:val="0"/>
      <w:marBottom w:val="0"/>
      <w:divBdr>
        <w:top w:val="none" w:sz="0" w:space="0" w:color="auto"/>
        <w:left w:val="none" w:sz="0" w:space="0" w:color="auto"/>
        <w:bottom w:val="none" w:sz="0" w:space="0" w:color="auto"/>
        <w:right w:val="none" w:sz="0" w:space="0" w:color="auto"/>
      </w:divBdr>
    </w:div>
    <w:div w:id="537661830">
      <w:marLeft w:val="0"/>
      <w:marRight w:val="0"/>
      <w:marTop w:val="0"/>
      <w:marBottom w:val="0"/>
      <w:divBdr>
        <w:top w:val="none" w:sz="0" w:space="0" w:color="auto"/>
        <w:left w:val="none" w:sz="0" w:space="0" w:color="auto"/>
        <w:bottom w:val="none" w:sz="0" w:space="0" w:color="auto"/>
        <w:right w:val="none" w:sz="0" w:space="0" w:color="auto"/>
      </w:divBdr>
    </w:div>
    <w:div w:id="537661831">
      <w:marLeft w:val="0"/>
      <w:marRight w:val="0"/>
      <w:marTop w:val="0"/>
      <w:marBottom w:val="0"/>
      <w:divBdr>
        <w:top w:val="none" w:sz="0" w:space="0" w:color="auto"/>
        <w:left w:val="none" w:sz="0" w:space="0" w:color="auto"/>
        <w:bottom w:val="none" w:sz="0" w:space="0" w:color="auto"/>
        <w:right w:val="none" w:sz="0" w:space="0" w:color="auto"/>
      </w:divBdr>
    </w:div>
    <w:div w:id="537661832">
      <w:marLeft w:val="0"/>
      <w:marRight w:val="0"/>
      <w:marTop w:val="0"/>
      <w:marBottom w:val="0"/>
      <w:divBdr>
        <w:top w:val="none" w:sz="0" w:space="0" w:color="auto"/>
        <w:left w:val="none" w:sz="0" w:space="0" w:color="auto"/>
        <w:bottom w:val="none" w:sz="0" w:space="0" w:color="auto"/>
        <w:right w:val="none" w:sz="0" w:space="0" w:color="auto"/>
      </w:divBdr>
    </w:div>
    <w:div w:id="537661833">
      <w:marLeft w:val="0"/>
      <w:marRight w:val="0"/>
      <w:marTop w:val="0"/>
      <w:marBottom w:val="0"/>
      <w:divBdr>
        <w:top w:val="none" w:sz="0" w:space="0" w:color="auto"/>
        <w:left w:val="none" w:sz="0" w:space="0" w:color="auto"/>
        <w:bottom w:val="none" w:sz="0" w:space="0" w:color="auto"/>
        <w:right w:val="none" w:sz="0" w:space="0" w:color="auto"/>
      </w:divBdr>
    </w:div>
    <w:div w:id="537661834">
      <w:marLeft w:val="0"/>
      <w:marRight w:val="0"/>
      <w:marTop w:val="0"/>
      <w:marBottom w:val="0"/>
      <w:divBdr>
        <w:top w:val="none" w:sz="0" w:space="0" w:color="auto"/>
        <w:left w:val="none" w:sz="0" w:space="0" w:color="auto"/>
        <w:bottom w:val="none" w:sz="0" w:space="0" w:color="auto"/>
        <w:right w:val="none" w:sz="0" w:space="0" w:color="auto"/>
      </w:divBdr>
    </w:div>
    <w:div w:id="537661835">
      <w:marLeft w:val="0"/>
      <w:marRight w:val="0"/>
      <w:marTop w:val="0"/>
      <w:marBottom w:val="0"/>
      <w:divBdr>
        <w:top w:val="none" w:sz="0" w:space="0" w:color="auto"/>
        <w:left w:val="none" w:sz="0" w:space="0" w:color="auto"/>
        <w:bottom w:val="none" w:sz="0" w:space="0" w:color="auto"/>
        <w:right w:val="none" w:sz="0" w:space="0" w:color="auto"/>
      </w:divBdr>
    </w:div>
    <w:div w:id="537661836">
      <w:marLeft w:val="0"/>
      <w:marRight w:val="0"/>
      <w:marTop w:val="0"/>
      <w:marBottom w:val="0"/>
      <w:divBdr>
        <w:top w:val="none" w:sz="0" w:space="0" w:color="auto"/>
        <w:left w:val="none" w:sz="0" w:space="0" w:color="auto"/>
        <w:bottom w:val="none" w:sz="0" w:space="0" w:color="auto"/>
        <w:right w:val="none" w:sz="0" w:space="0" w:color="auto"/>
      </w:divBdr>
    </w:div>
    <w:div w:id="537661837">
      <w:marLeft w:val="0"/>
      <w:marRight w:val="0"/>
      <w:marTop w:val="0"/>
      <w:marBottom w:val="0"/>
      <w:divBdr>
        <w:top w:val="none" w:sz="0" w:space="0" w:color="auto"/>
        <w:left w:val="none" w:sz="0" w:space="0" w:color="auto"/>
        <w:bottom w:val="none" w:sz="0" w:space="0" w:color="auto"/>
        <w:right w:val="none" w:sz="0" w:space="0" w:color="auto"/>
      </w:divBdr>
    </w:div>
    <w:div w:id="537661838">
      <w:marLeft w:val="0"/>
      <w:marRight w:val="0"/>
      <w:marTop w:val="0"/>
      <w:marBottom w:val="0"/>
      <w:divBdr>
        <w:top w:val="none" w:sz="0" w:space="0" w:color="auto"/>
        <w:left w:val="none" w:sz="0" w:space="0" w:color="auto"/>
        <w:bottom w:val="none" w:sz="0" w:space="0" w:color="auto"/>
        <w:right w:val="none" w:sz="0" w:space="0" w:color="auto"/>
      </w:divBdr>
    </w:div>
    <w:div w:id="537661839">
      <w:marLeft w:val="0"/>
      <w:marRight w:val="0"/>
      <w:marTop w:val="0"/>
      <w:marBottom w:val="0"/>
      <w:divBdr>
        <w:top w:val="none" w:sz="0" w:space="0" w:color="auto"/>
        <w:left w:val="none" w:sz="0" w:space="0" w:color="auto"/>
        <w:bottom w:val="none" w:sz="0" w:space="0" w:color="auto"/>
        <w:right w:val="none" w:sz="0" w:space="0" w:color="auto"/>
      </w:divBdr>
    </w:div>
    <w:div w:id="537661840">
      <w:marLeft w:val="0"/>
      <w:marRight w:val="0"/>
      <w:marTop w:val="0"/>
      <w:marBottom w:val="0"/>
      <w:divBdr>
        <w:top w:val="none" w:sz="0" w:space="0" w:color="auto"/>
        <w:left w:val="none" w:sz="0" w:space="0" w:color="auto"/>
        <w:bottom w:val="none" w:sz="0" w:space="0" w:color="auto"/>
        <w:right w:val="none" w:sz="0" w:space="0" w:color="auto"/>
      </w:divBdr>
    </w:div>
    <w:div w:id="537661841">
      <w:marLeft w:val="0"/>
      <w:marRight w:val="0"/>
      <w:marTop w:val="0"/>
      <w:marBottom w:val="0"/>
      <w:divBdr>
        <w:top w:val="none" w:sz="0" w:space="0" w:color="auto"/>
        <w:left w:val="none" w:sz="0" w:space="0" w:color="auto"/>
        <w:bottom w:val="none" w:sz="0" w:space="0" w:color="auto"/>
        <w:right w:val="none" w:sz="0" w:space="0" w:color="auto"/>
      </w:divBdr>
    </w:div>
    <w:div w:id="537661842">
      <w:marLeft w:val="0"/>
      <w:marRight w:val="0"/>
      <w:marTop w:val="0"/>
      <w:marBottom w:val="0"/>
      <w:divBdr>
        <w:top w:val="none" w:sz="0" w:space="0" w:color="auto"/>
        <w:left w:val="none" w:sz="0" w:space="0" w:color="auto"/>
        <w:bottom w:val="none" w:sz="0" w:space="0" w:color="auto"/>
        <w:right w:val="none" w:sz="0" w:space="0" w:color="auto"/>
      </w:divBdr>
    </w:div>
    <w:div w:id="537661843">
      <w:marLeft w:val="0"/>
      <w:marRight w:val="0"/>
      <w:marTop w:val="0"/>
      <w:marBottom w:val="0"/>
      <w:divBdr>
        <w:top w:val="none" w:sz="0" w:space="0" w:color="auto"/>
        <w:left w:val="none" w:sz="0" w:space="0" w:color="auto"/>
        <w:bottom w:val="none" w:sz="0" w:space="0" w:color="auto"/>
        <w:right w:val="none" w:sz="0" w:space="0" w:color="auto"/>
      </w:divBdr>
    </w:div>
    <w:div w:id="537661844">
      <w:marLeft w:val="0"/>
      <w:marRight w:val="0"/>
      <w:marTop w:val="0"/>
      <w:marBottom w:val="0"/>
      <w:divBdr>
        <w:top w:val="none" w:sz="0" w:space="0" w:color="auto"/>
        <w:left w:val="none" w:sz="0" w:space="0" w:color="auto"/>
        <w:bottom w:val="none" w:sz="0" w:space="0" w:color="auto"/>
        <w:right w:val="none" w:sz="0" w:space="0" w:color="auto"/>
      </w:divBdr>
    </w:div>
    <w:div w:id="537661845">
      <w:marLeft w:val="0"/>
      <w:marRight w:val="0"/>
      <w:marTop w:val="0"/>
      <w:marBottom w:val="0"/>
      <w:divBdr>
        <w:top w:val="none" w:sz="0" w:space="0" w:color="auto"/>
        <w:left w:val="none" w:sz="0" w:space="0" w:color="auto"/>
        <w:bottom w:val="none" w:sz="0" w:space="0" w:color="auto"/>
        <w:right w:val="none" w:sz="0" w:space="0" w:color="auto"/>
      </w:divBdr>
    </w:div>
    <w:div w:id="537661846">
      <w:marLeft w:val="0"/>
      <w:marRight w:val="0"/>
      <w:marTop w:val="0"/>
      <w:marBottom w:val="0"/>
      <w:divBdr>
        <w:top w:val="none" w:sz="0" w:space="0" w:color="auto"/>
        <w:left w:val="none" w:sz="0" w:space="0" w:color="auto"/>
        <w:bottom w:val="none" w:sz="0" w:space="0" w:color="auto"/>
        <w:right w:val="none" w:sz="0" w:space="0" w:color="auto"/>
      </w:divBdr>
    </w:div>
    <w:div w:id="537661847">
      <w:marLeft w:val="0"/>
      <w:marRight w:val="0"/>
      <w:marTop w:val="0"/>
      <w:marBottom w:val="0"/>
      <w:divBdr>
        <w:top w:val="none" w:sz="0" w:space="0" w:color="auto"/>
        <w:left w:val="none" w:sz="0" w:space="0" w:color="auto"/>
        <w:bottom w:val="none" w:sz="0" w:space="0" w:color="auto"/>
        <w:right w:val="none" w:sz="0" w:space="0" w:color="auto"/>
      </w:divBdr>
    </w:div>
    <w:div w:id="537661848">
      <w:marLeft w:val="0"/>
      <w:marRight w:val="0"/>
      <w:marTop w:val="0"/>
      <w:marBottom w:val="0"/>
      <w:divBdr>
        <w:top w:val="none" w:sz="0" w:space="0" w:color="auto"/>
        <w:left w:val="none" w:sz="0" w:space="0" w:color="auto"/>
        <w:bottom w:val="none" w:sz="0" w:space="0" w:color="auto"/>
        <w:right w:val="none" w:sz="0" w:space="0" w:color="auto"/>
      </w:divBdr>
    </w:div>
    <w:div w:id="537661849">
      <w:marLeft w:val="0"/>
      <w:marRight w:val="0"/>
      <w:marTop w:val="0"/>
      <w:marBottom w:val="0"/>
      <w:divBdr>
        <w:top w:val="none" w:sz="0" w:space="0" w:color="auto"/>
        <w:left w:val="none" w:sz="0" w:space="0" w:color="auto"/>
        <w:bottom w:val="none" w:sz="0" w:space="0" w:color="auto"/>
        <w:right w:val="none" w:sz="0" w:space="0" w:color="auto"/>
      </w:divBdr>
    </w:div>
    <w:div w:id="537661850">
      <w:marLeft w:val="0"/>
      <w:marRight w:val="0"/>
      <w:marTop w:val="0"/>
      <w:marBottom w:val="0"/>
      <w:divBdr>
        <w:top w:val="none" w:sz="0" w:space="0" w:color="auto"/>
        <w:left w:val="none" w:sz="0" w:space="0" w:color="auto"/>
        <w:bottom w:val="none" w:sz="0" w:space="0" w:color="auto"/>
        <w:right w:val="none" w:sz="0" w:space="0" w:color="auto"/>
      </w:divBdr>
    </w:div>
    <w:div w:id="537661851">
      <w:marLeft w:val="0"/>
      <w:marRight w:val="0"/>
      <w:marTop w:val="0"/>
      <w:marBottom w:val="0"/>
      <w:divBdr>
        <w:top w:val="none" w:sz="0" w:space="0" w:color="auto"/>
        <w:left w:val="none" w:sz="0" w:space="0" w:color="auto"/>
        <w:bottom w:val="none" w:sz="0" w:space="0" w:color="auto"/>
        <w:right w:val="none" w:sz="0" w:space="0" w:color="auto"/>
      </w:divBdr>
    </w:div>
    <w:div w:id="537661852">
      <w:marLeft w:val="0"/>
      <w:marRight w:val="0"/>
      <w:marTop w:val="0"/>
      <w:marBottom w:val="0"/>
      <w:divBdr>
        <w:top w:val="none" w:sz="0" w:space="0" w:color="auto"/>
        <w:left w:val="none" w:sz="0" w:space="0" w:color="auto"/>
        <w:bottom w:val="none" w:sz="0" w:space="0" w:color="auto"/>
        <w:right w:val="none" w:sz="0" w:space="0" w:color="auto"/>
      </w:divBdr>
    </w:div>
    <w:div w:id="537661853">
      <w:marLeft w:val="0"/>
      <w:marRight w:val="0"/>
      <w:marTop w:val="0"/>
      <w:marBottom w:val="0"/>
      <w:divBdr>
        <w:top w:val="none" w:sz="0" w:space="0" w:color="auto"/>
        <w:left w:val="none" w:sz="0" w:space="0" w:color="auto"/>
        <w:bottom w:val="none" w:sz="0" w:space="0" w:color="auto"/>
        <w:right w:val="none" w:sz="0" w:space="0" w:color="auto"/>
      </w:divBdr>
    </w:div>
    <w:div w:id="537661854">
      <w:marLeft w:val="0"/>
      <w:marRight w:val="0"/>
      <w:marTop w:val="0"/>
      <w:marBottom w:val="0"/>
      <w:divBdr>
        <w:top w:val="none" w:sz="0" w:space="0" w:color="auto"/>
        <w:left w:val="none" w:sz="0" w:space="0" w:color="auto"/>
        <w:bottom w:val="none" w:sz="0" w:space="0" w:color="auto"/>
        <w:right w:val="none" w:sz="0" w:space="0" w:color="auto"/>
      </w:divBdr>
    </w:div>
    <w:div w:id="537661855">
      <w:marLeft w:val="0"/>
      <w:marRight w:val="0"/>
      <w:marTop w:val="0"/>
      <w:marBottom w:val="0"/>
      <w:divBdr>
        <w:top w:val="none" w:sz="0" w:space="0" w:color="auto"/>
        <w:left w:val="none" w:sz="0" w:space="0" w:color="auto"/>
        <w:bottom w:val="none" w:sz="0" w:space="0" w:color="auto"/>
        <w:right w:val="none" w:sz="0" w:space="0" w:color="auto"/>
      </w:divBdr>
    </w:div>
    <w:div w:id="53766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1381</Words>
  <Characters>7413</Characters>
  <Application>Microsoft Office Word</Application>
  <DocSecurity>0</DocSecurity>
  <Lines>109</Lines>
  <Paragraphs>9</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Lioci</dc:creator>
  <cp:lastModifiedBy>Santini</cp:lastModifiedBy>
  <cp:revision>4</cp:revision>
  <cp:lastPrinted>2015-10-08T14:08:00Z</cp:lastPrinted>
  <dcterms:created xsi:type="dcterms:W3CDTF">2015-10-12T11:51:00Z</dcterms:created>
  <dcterms:modified xsi:type="dcterms:W3CDTF">2015-10-13T10:50:00Z</dcterms:modified>
</cp:coreProperties>
</file>